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A9" w:rsidRDefault="003476A9" w:rsidP="003476A9">
      <w:pPr>
        <w:autoSpaceDE w:val="0"/>
        <w:autoSpaceDN w:val="0"/>
        <w:adjustRightInd w:val="0"/>
        <w:ind w:right="1"/>
        <w:rPr>
          <w:rFonts w:ascii="Bookman Old Style" w:hAnsi="Bookman Old Style" w:cs="Verdana"/>
          <w:b/>
          <w:noProof/>
          <w:color w:val="000000" w:themeColor="text1"/>
          <w:sz w:val="22"/>
          <w:szCs w:val="22"/>
        </w:rPr>
      </w:pPr>
      <w:r w:rsidRPr="00676DED">
        <w:rPr>
          <w:rFonts w:ascii="Bookman Old Style" w:hAnsi="Bookman Old Style"/>
          <w:b/>
          <w:color w:val="000000" w:themeColor="text1"/>
          <w:sz w:val="22"/>
          <w:szCs w:val="22"/>
        </w:rPr>
        <w:t>CODIFICACIÓN AL REGLAMENTO PARA EL EJERCICIO DE LA DEMOCRACIA DIRECTA A TRAVES DE LA INICIATIVA POPULAR NORMATIVA, CONSULTAS POPULARES, REFERENDUM Y REVOCATORIA DEL MANDATO</w:t>
      </w:r>
      <w:r w:rsidRPr="00676DED">
        <w:rPr>
          <w:rFonts w:ascii="Bookman Old Style" w:hAnsi="Bookman Old Style"/>
          <w:color w:val="000000" w:themeColor="text1"/>
          <w:sz w:val="22"/>
          <w:szCs w:val="22"/>
        </w:rPr>
        <w:t>.</w:t>
      </w:r>
      <w:r w:rsidRPr="00676DED">
        <w:rPr>
          <w:rFonts w:ascii="Bookman Old Style" w:hAnsi="Bookman Old Style"/>
          <w:color w:val="000000" w:themeColor="text1"/>
          <w:sz w:val="22"/>
          <w:szCs w:val="22"/>
        </w:rPr>
        <w:br/>
      </w:r>
    </w:p>
    <w:p w:rsidR="00676DED" w:rsidRPr="00676DED" w:rsidRDefault="00676DED" w:rsidP="00676DED">
      <w:pPr>
        <w:autoSpaceDE w:val="0"/>
        <w:autoSpaceDN w:val="0"/>
        <w:adjustRightInd w:val="0"/>
        <w:ind w:right="1"/>
        <w:jc w:val="both"/>
        <w:rPr>
          <w:rFonts w:ascii="Bookman Old Style" w:hAnsi="Bookman Old Style" w:cs="Verdana"/>
          <w:b/>
          <w:noProof/>
          <w:color w:val="000000" w:themeColor="text1"/>
          <w:sz w:val="22"/>
          <w:szCs w:val="22"/>
        </w:rPr>
      </w:pPr>
      <w:r w:rsidRPr="00676DED">
        <w:rPr>
          <w:rFonts w:ascii="Bookman Old Style" w:hAnsi="Bookman Old Style" w:cs="Verdana"/>
          <w:b/>
          <w:noProof/>
          <w:color w:val="000000" w:themeColor="text1"/>
          <w:sz w:val="22"/>
          <w:szCs w:val="22"/>
        </w:rPr>
        <w:t xml:space="preserve">Artículo 2.- </w:t>
      </w:r>
      <w:r w:rsidRPr="00676DED">
        <w:rPr>
          <w:rFonts w:ascii="Bookman Old Style" w:hAnsi="Bookman Old Style" w:cs="Verdana"/>
          <w:noProof/>
          <w:color w:val="000000" w:themeColor="text1"/>
          <w:sz w:val="22"/>
          <w:szCs w:val="22"/>
        </w:rPr>
        <w:t>Aprobar la Codificación al</w:t>
      </w:r>
      <w:r w:rsidRPr="00676DED">
        <w:rPr>
          <w:rFonts w:ascii="Bookman Old Style" w:hAnsi="Bookman Old Style" w:cs="Verdana"/>
          <w:b/>
          <w:noProof/>
          <w:color w:val="000000" w:themeColor="text1"/>
          <w:sz w:val="22"/>
          <w:szCs w:val="22"/>
        </w:rPr>
        <w:t xml:space="preserve"> </w:t>
      </w:r>
      <w:r w:rsidRPr="00676DED">
        <w:rPr>
          <w:rFonts w:ascii="Bookman Old Style" w:hAnsi="Bookman Old Style"/>
          <w:color w:val="000000" w:themeColor="text1"/>
          <w:sz w:val="22"/>
          <w:szCs w:val="22"/>
          <w:lang w:val="es-EC" w:eastAsia="es-EC"/>
        </w:rPr>
        <w:t>Reglamento para el Ejercicio de la Democracia Directa a Través de la Iniciativa Popular Normativa, Consultas Populares, Referéndum y Revocatoria del Mandato, documento que tendrá la siguiente redacción:</w:t>
      </w:r>
    </w:p>
    <w:p w:rsidR="00676DED" w:rsidRPr="00676DED" w:rsidRDefault="00676DED" w:rsidP="00676DED">
      <w:pPr>
        <w:autoSpaceDE w:val="0"/>
        <w:autoSpaceDN w:val="0"/>
        <w:adjustRightInd w:val="0"/>
        <w:ind w:left="90" w:right="1"/>
        <w:jc w:val="center"/>
        <w:rPr>
          <w:rFonts w:ascii="Bookman Old Style" w:hAnsi="Bookman Old Style" w:cs="Verdana"/>
          <w:b/>
          <w:noProof/>
          <w:color w:val="000000" w:themeColor="text1"/>
          <w:sz w:val="22"/>
          <w:szCs w:val="22"/>
        </w:rPr>
      </w:pPr>
    </w:p>
    <w:p w:rsidR="00676DED" w:rsidRPr="00676DED" w:rsidRDefault="00676DED" w:rsidP="00676DED">
      <w:pPr>
        <w:autoSpaceDE w:val="0"/>
        <w:autoSpaceDN w:val="0"/>
        <w:adjustRightInd w:val="0"/>
        <w:ind w:left="90" w:right="1"/>
        <w:jc w:val="center"/>
        <w:rPr>
          <w:color w:val="000000" w:themeColor="text1"/>
        </w:rPr>
      </w:pPr>
      <w:r w:rsidRPr="00676DED">
        <w:rPr>
          <w:rFonts w:ascii="Bookman Old Style" w:hAnsi="Bookman Old Style" w:cs="Verdana"/>
          <w:b/>
          <w:noProof/>
          <w:color w:val="000000" w:themeColor="text1"/>
          <w:sz w:val="22"/>
          <w:szCs w:val="22"/>
        </w:rPr>
        <w:t>EL PLENO DEL CONSEJO NACIONAL ELECTORAL</w:t>
      </w:r>
    </w:p>
    <w:p w:rsidR="00676DED" w:rsidRPr="00676DED" w:rsidRDefault="00676DED" w:rsidP="00676DED">
      <w:pPr>
        <w:autoSpaceDE w:val="0"/>
        <w:autoSpaceDN w:val="0"/>
        <w:adjustRightInd w:val="0"/>
        <w:ind w:left="90" w:right="1"/>
        <w:jc w:val="center"/>
        <w:rPr>
          <w:rFonts w:ascii="Bookman Old Style" w:hAnsi="Bookman Old Style" w:cs="Verdana"/>
          <w:b/>
          <w:noProof/>
          <w:color w:val="000000" w:themeColor="text1"/>
          <w:sz w:val="22"/>
          <w:szCs w:val="22"/>
        </w:rPr>
      </w:pPr>
    </w:p>
    <w:p w:rsidR="00676DED" w:rsidRPr="00676DED" w:rsidRDefault="00676DED" w:rsidP="00676DED">
      <w:pPr>
        <w:autoSpaceDE w:val="0"/>
        <w:autoSpaceDN w:val="0"/>
        <w:adjustRightInd w:val="0"/>
        <w:ind w:left="90" w:right="1"/>
        <w:jc w:val="center"/>
        <w:rPr>
          <w:rFonts w:ascii="Bookman Old Style" w:hAnsi="Bookman Old Style" w:cs="Verdana"/>
          <w:b/>
          <w:noProof/>
          <w:color w:val="000000" w:themeColor="text1"/>
          <w:sz w:val="22"/>
          <w:szCs w:val="22"/>
        </w:rPr>
      </w:pPr>
      <w:r w:rsidRPr="00676DED">
        <w:rPr>
          <w:rFonts w:ascii="Bookman Old Style" w:hAnsi="Bookman Old Style" w:cs="Verdana"/>
          <w:b/>
          <w:noProof/>
          <w:color w:val="000000" w:themeColor="text1"/>
          <w:sz w:val="22"/>
          <w:szCs w:val="22"/>
        </w:rPr>
        <w:t>Considerando:</w:t>
      </w:r>
    </w:p>
    <w:p w:rsidR="00676DED" w:rsidRPr="00676DED" w:rsidRDefault="00676DED" w:rsidP="00676DED">
      <w:pPr>
        <w:rPr>
          <w:rFonts w:ascii="Bookman Old Style" w:hAnsi="Bookman Old Style"/>
          <w:color w:val="000000" w:themeColor="text1"/>
          <w:sz w:val="22"/>
          <w:szCs w:val="22"/>
        </w:rPr>
      </w:pPr>
    </w:p>
    <w:p w:rsidR="00676DED" w:rsidRPr="00676DED" w:rsidRDefault="00676DED" w:rsidP="00676DED">
      <w:pPr>
        <w:ind w:left="709" w:hanging="709"/>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Que,</w:t>
      </w:r>
      <w:r w:rsidRPr="00676DED">
        <w:rPr>
          <w:rFonts w:ascii="Bookman Old Style" w:hAnsi="Bookman Old Style"/>
          <w:color w:val="000000" w:themeColor="text1"/>
          <w:sz w:val="22"/>
          <w:szCs w:val="22"/>
        </w:rPr>
        <w:t xml:space="preserve"> los artículos 61, 104 y 105 de la Constitución de la República del Ecuador, establecen el derecho ciudadano para ser consultados en asuntos de interés nacional o local y revocar el mandato a las autoridades de elección popular;</w:t>
      </w:r>
    </w:p>
    <w:p w:rsidR="00676DED" w:rsidRPr="00676DED" w:rsidRDefault="00676DED" w:rsidP="00676DED">
      <w:pPr>
        <w:ind w:left="709" w:hanging="709"/>
        <w:jc w:val="both"/>
        <w:rPr>
          <w:rFonts w:ascii="Bookman Old Style" w:hAnsi="Bookman Old Style"/>
          <w:b/>
          <w:color w:val="000000" w:themeColor="text1"/>
          <w:sz w:val="22"/>
          <w:szCs w:val="22"/>
        </w:rPr>
      </w:pPr>
    </w:p>
    <w:p w:rsidR="00676DED" w:rsidRPr="00676DED" w:rsidRDefault="00676DED" w:rsidP="00676DED">
      <w:pPr>
        <w:ind w:left="709" w:hanging="709"/>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 xml:space="preserve">Que, </w:t>
      </w:r>
      <w:r w:rsidRPr="00676DED">
        <w:rPr>
          <w:rFonts w:ascii="Bookman Old Style" w:hAnsi="Bookman Old Style"/>
          <w:color w:val="000000" w:themeColor="text1"/>
          <w:sz w:val="22"/>
          <w:szCs w:val="22"/>
        </w:rPr>
        <w:t>según el inciso segundo del Art. 95 de la Constitución de la República del Ecuador la participación de la ciudadanía en todos los asuntos de interés público es un derecho, que se ejerce a través del ejercicio de la democracia representativa, directa y comunitaria;</w:t>
      </w:r>
    </w:p>
    <w:p w:rsidR="00676DED" w:rsidRPr="00676DED" w:rsidRDefault="00676DED" w:rsidP="00676DED">
      <w:pPr>
        <w:ind w:left="709" w:hanging="709"/>
        <w:jc w:val="both"/>
        <w:rPr>
          <w:rFonts w:ascii="Bookman Old Style" w:hAnsi="Bookman Old Style"/>
          <w:b/>
          <w:color w:val="000000" w:themeColor="text1"/>
          <w:sz w:val="22"/>
          <w:szCs w:val="22"/>
        </w:rPr>
      </w:pPr>
    </w:p>
    <w:p w:rsidR="00676DED" w:rsidRPr="00676DED" w:rsidRDefault="00676DED" w:rsidP="00676DED">
      <w:pPr>
        <w:ind w:left="709" w:hanging="709"/>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Que,</w:t>
      </w:r>
      <w:r w:rsidRPr="00676DED">
        <w:rPr>
          <w:rFonts w:ascii="Bookman Old Style" w:hAnsi="Bookman Old Style"/>
          <w:color w:val="000000" w:themeColor="text1"/>
          <w:sz w:val="22"/>
          <w:szCs w:val="22"/>
        </w:rPr>
        <w:t xml:space="preserve">  en el Registro Oficial No. 445 de 11 de mayo del 2011, se publica la Ley Orgánica Reformatoria a la Ley Orgánica Electoral y de Organizaciones Políticas, Código de la Democracia y a la Ley Orgánica de Participación Ciudadana que regulan la Revocatoria del Mandato;</w:t>
      </w:r>
    </w:p>
    <w:p w:rsidR="00676DED" w:rsidRPr="00676DED" w:rsidRDefault="00676DED" w:rsidP="00676DED">
      <w:pPr>
        <w:ind w:left="709" w:hanging="709"/>
        <w:jc w:val="both"/>
        <w:rPr>
          <w:rFonts w:ascii="Bookman Old Style" w:hAnsi="Bookman Old Style"/>
          <w:b/>
          <w:color w:val="000000" w:themeColor="text1"/>
          <w:sz w:val="22"/>
          <w:szCs w:val="22"/>
        </w:rPr>
      </w:pPr>
    </w:p>
    <w:p w:rsidR="00676DED" w:rsidRPr="00676DED" w:rsidRDefault="00676DED" w:rsidP="00676DED">
      <w:pPr>
        <w:ind w:left="709" w:hanging="709"/>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Que,</w:t>
      </w:r>
      <w:r w:rsidRPr="00676DED">
        <w:rPr>
          <w:rFonts w:ascii="Bookman Old Style" w:hAnsi="Bookman Old Style"/>
          <w:color w:val="000000" w:themeColor="text1"/>
          <w:sz w:val="22"/>
          <w:szCs w:val="22"/>
        </w:rPr>
        <w:t xml:space="preserve">  de conformidad con lo dispuesto en el numeral 6 del Art. 219 de la Constitución de la República del Ecuador, y el numeral 9 del Art. 25 de la Ley Orgánica Electoral y de Organizaciones Políticas -Código de </w:t>
      </w:r>
      <w:proofErr w:type="gramStart"/>
      <w:r w:rsidRPr="00676DED">
        <w:rPr>
          <w:rFonts w:ascii="Bookman Old Style" w:hAnsi="Bookman Old Style"/>
          <w:color w:val="000000" w:themeColor="text1"/>
          <w:sz w:val="22"/>
          <w:szCs w:val="22"/>
        </w:rPr>
        <w:t>la</w:t>
      </w:r>
      <w:proofErr w:type="gramEnd"/>
      <w:r w:rsidRPr="00676DED">
        <w:rPr>
          <w:rFonts w:ascii="Bookman Old Style" w:hAnsi="Bookman Old Style"/>
          <w:color w:val="000000" w:themeColor="text1"/>
          <w:sz w:val="22"/>
          <w:szCs w:val="22"/>
        </w:rPr>
        <w:t xml:space="preserve"> Democracia- el Consejo Nacional Electoral, tiene la facultad de reglamentar la normativa legal sobre los asuntos de su competencia;</w:t>
      </w:r>
    </w:p>
    <w:p w:rsidR="00676DED" w:rsidRPr="00676DED" w:rsidRDefault="00676DED" w:rsidP="00676DED">
      <w:pPr>
        <w:ind w:left="709" w:hanging="709"/>
        <w:jc w:val="both"/>
        <w:rPr>
          <w:rFonts w:ascii="Bookman Old Style" w:hAnsi="Bookman Old Style"/>
          <w:b/>
          <w:color w:val="000000" w:themeColor="text1"/>
          <w:sz w:val="22"/>
          <w:szCs w:val="22"/>
        </w:rPr>
      </w:pPr>
    </w:p>
    <w:p w:rsidR="00676DED" w:rsidRPr="00676DED" w:rsidRDefault="00676DED" w:rsidP="00676DED">
      <w:pPr>
        <w:ind w:left="709" w:hanging="709"/>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Que,</w:t>
      </w:r>
      <w:r w:rsidRPr="00676DED">
        <w:rPr>
          <w:rFonts w:ascii="Bookman Old Style" w:hAnsi="Bookman Old Style"/>
          <w:color w:val="000000" w:themeColor="text1"/>
          <w:sz w:val="22"/>
          <w:szCs w:val="22"/>
        </w:rPr>
        <w:t xml:space="preserve">  la Corte Constitucional dentro de la causa 0002-10-CP- emitió el dictamen 001-13-DCP-CC de 25 de septiembre de 2013 disponiendo: “</w:t>
      </w:r>
      <w:r w:rsidRPr="00676DED">
        <w:rPr>
          <w:rFonts w:ascii="Bookman Old Style" w:hAnsi="Bookman Old Style"/>
          <w:i/>
          <w:color w:val="000000" w:themeColor="text1"/>
          <w:sz w:val="22"/>
          <w:szCs w:val="22"/>
          <w:lang w:val="es-EC" w:eastAsia="es-EC"/>
        </w:rPr>
        <w:t xml:space="preserve">En virtud de la competencia establecida para la Corte Constitucional contenida en el artículo 436 numerales 1 y 6 de la Constitución, dada la relevancia del problema identificado en el presente caso, esta Corte Constitucional establece la siguiente regla jurisprudencial de aplicación obligatoria con efecto </w:t>
      </w:r>
      <w:proofErr w:type="spellStart"/>
      <w:r w:rsidRPr="00676DED">
        <w:rPr>
          <w:rFonts w:ascii="Bookman Old Style" w:hAnsi="Bookman Old Style"/>
          <w:i/>
          <w:color w:val="000000" w:themeColor="text1"/>
          <w:sz w:val="22"/>
          <w:szCs w:val="22"/>
          <w:lang w:val="es-EC" w:eastAsia="es-EC"/>
        </w:rPr>
        <w:t>erga</w:t>
      </w:r>
      <w:proofErr w:type="spellEnd"/>
      <w:r w:rsidRPr="00676DED">
        <w:rPr>
          <w:rFonts w:ascii="Bookman Old Style" w:hAnsi="Bookman Old Style"/>
          <w:i/>
          <w:color w:val="000000" w:themeColor="text1"/>
          <w:sz w:val="22"/>
          <w:szCs w:val="22"/>
          <w:lang w:val="es-EC" w:eastAsia="es-EC"/>
        </w:rPr>
        <w:t xml:space="preserve"> </w:t>
      </w:r>
      <w:proofErr w:type="spellStart"/>
      <w:r w:rsidRPr="00676DED">
        <w:rPr>
          <w:rFonts w:ascii="Bookman Old Style" w:hAnsi="Bookman Old Style"/>
          <w:i/>
          <w:color w:val="000000" w:themeColor="text1"/>
          <w:sz w:val="22"/>
          <w:szCs w:val="22"/>
          <w:lang w:val="es-EC" w:eastAsia="es-EC"/>
        </w:rPr>
        <w:t>omnes</w:t>
      </w:r>
      <w:proofErr w:type="spellEnd"/>
      <w:r w:rsidRPr="00676DED">
        <w:rPr>
          <w:rFonts w:ascii="Bookman Old Style" w:hAnsi="Bookman Old Style"/>
          <w:i/>
          <w:color w:val="000000" w:themeColor="text1"/>
          <w:sz w:val="22"/>
          <w:szCs w:val="22"/>
          <w:lang w:val="es-EC" w:eastAsia="es-EC"/>
        </w:rPr>
        <w:t xml:space="preserve"> para todas las causas que se encuentren en trámite y las que se presentaren con las mismas características: Para la emisión del dictamen previo y vinculante de la constitucionalidad de las convocatorias a consulta popular provenientes de la iniciativa ciudadana, el Consejo Nacional Electoral deberá remitir a la Corte Constitucional, junto con la petición de consulta, el informe favorable del cumplimiento de la legitimación democrática, en observancia a lo dispuesto en el inciso cuarto del artículo 104 de la Constitución; requisito que deberá ser verificado por la Sala de Admisión de funciones conforme al Reglamento de Sustanciación de Procesos de Competencias de la Corte Constitucional”…4. “Disponer que el Consejo Nacional Electoral adecúe la normativa interna al análisis, razonamiento y decisión establecido en este dictamen”, y,</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En uso de sus atribuciones constitucionales y legales.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Expide la siguiente:</w:t>
      </w:r>
    </w:p>
    <w:p w:rsidR="00676DED" w:rsidRPr="00676DED" w:rsidRDefault="00676DED" w:rsidP="003476A9">
      <w:pPr>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CODIFICACIÓN AL REGLAMENTO PARA EL EJERCICIO DE LA DEMOCRACIA DIRECTA A TRAVES DE LA INICIATIVA POPULAR NORMATIVA, CONSULTAS POPULARES, REFERENDUM Y REVOCATORIA DEL MANDATO</w:t>
      </w:r>
      <w:r w:rsidRPr="00676DED">
        <w:rPr>
          <w:rFonts w:ascii="Bookman Old Style" w:hAnsi="Bookman Old Style"/>
          <w:color w:val="000000" w:themeColor="text1"/>
          <w:sz w:val="22"/>
          <w:szCs w:val="22"/>
        </w:rPr>
        <w:t>.</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1</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Ámbito y Finalidad.- El presente reglamento determina los procedimientos para el ejercicio de los derechos constitucionales y legales para promover la iniciativa popular normativa, consulta popular, referéndum o revocatoria del mandato, así como lo referente al control de la propaganda, gasto electoral y el examen de cuentas que se efectúen durante las campañas electorales.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Competencia.- El Consejo Nacional Electoral es el organismo competente para convocar, organizar, dirigir, vigilar y garantizar de manera transparente los procesos de iniciativa popular normativa, consulta popular, referéndum o revocatoria del mandato, así como controlar y fiscalizar la publicidad, propaganda, gasto electoral y realizar el examen de las cuentas en lo relativo al monto, origen y destino de los recursos que se utilicen en la campaña electoral.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 xml:space="preserve">DE LA INICIATIVA POPULAR NORMATIVA </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Disposiciones Aplicables.- La iniciativa popular normativa que ejerza la ciudadanía para proponer la creación, reforma o derogatoria de normas jurídicas deberá presentarse ante la Función Legislativa o al órgano que tenga competencia en la materia propuesta, debiendo respaldarse en un número no inferior al cero punto veinte y cinco por ciento de las personas inscritas en el registro utilizado en el último proceso electoral de la jurisdicción correspondiente.</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También podrá proponerse a la Asamblea Nacional la reforma de uno o varios artículos de la Constitución, con el respaldo de al menos el uno por ciento de las personas inscritas en el registro utilizado en el último proceso electoral nacional de conformidad con el Art. 442 de la Constitución de la República del Ecuador.</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Las firmas de respaldo para la iniciativa popular normativa o la reforma constitucional, deberán ser receptadas en el formato de formulario provisto por el Consejo Nacional Electoral.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Una vez receptada la solicitud por parte del órgano legislativo correspondiente, los formularios con las firmas de respaldo deberán ser remitidos al Consejo Nacional Electoral o a la delegación provincial correspondiente, quien verificará la autenticidad de las firmas y el cumplimiento del número de respaldos requerido.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 xml:space="preserve">En el caso de no cumplir con el número de firmas auténticas requeridas, se notificará a los peticionarios para que </w:t>
      </w:r>
      <w:proofErr w:type="spellStart"/>
      <w:r w:rsidRPr="00676DED">
        <w:rPr>
          <w:rFonts w:ascii="Bookman Old Style" w:hAnsi="Bookman Old Style"/>
          <w:color w:val="000000" w:themeColor="text1"/>
          <w:sz w:val="22"/>
          <w:szCs w:val="22"/>
        </w:rPr>
        <w:t>de</w:t>
      </w:r>
      <w:proofErr w:type="spellEnd"/>
      <w:r w:rsidRPr="00676DED">
        <w:rPr>
          <w:rFonts w:ascii="Bookman Old Style" w:hAnsi="Bookman Old Style"/>
          <w:color w:val="000000" w:themeColor="text1"/>
          <w:sz w:val="22"/>
          <w:szCs w:val="22"/>
        </w:rPr>
        <w:t xml:space="preserve"> así considerarlo completen las firmas en el plazo de noventa días, contados a partir de la notificación.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lastRenderedPageBreak/>
        <w:br/>
      </w:r>
      <w:r w:rsidRPr="00676DED">
        <w:rPr>
          <w:rFonts w:ascii="Bookman Old Style" w:hAnsi="Bookman Old Style"/>
          <w:color w:val="000000" w:themeColor="text1"/>
          <w:sz w:val="22"/>
          <w:szCs w:val="22"/>
        </w:rPr>
        <w:br/>
        <w:t>Para los casos de reforma o enmienda constitucional, previo a la recolección de firmas, se requerirá el dictamen de la Corte Constitucional, para que emita su pronunciamiento en el término legal que tiene para hacerlo.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DE LA CONSULTA POPULAR Y EL REFERENDUM</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4</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Procedencia de la Consulta Popular.- La consulta popular puede ser propuesta por disposición de la Presidenta o Presidente de la República, de la máxima autoridad de los gobiernos autónomos descentralizados o por iniciativa ciudadana.</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Presidenta o Presidente de la República podrá disponer la convocatoria a consulta popular sobre asuntos que estime convenientes de acuerdo a la norma constitucional.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Los gobiernos autónomos descentralizados, podrán solicitar la convocatoria a consulta popular sobre temas de interés de la respectiva jurisdicción.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La ciudadanía podrá solicitar la realización de una consulta popular sobre cualquier asunto.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consulta popular que soliciten las y los ciudadanos y los gobiernos autónomos descentralizados, no podrán referirse a asuntos relativos a tributos o a la organización política administrativa del país.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El Consejo Nacional Electoral, una vez cumplidos los requisitos constitucionales, legales y reglamentarios, convocará a consulta popular.</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5</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Consulta Popular por Iniciativa Presidencial.-La Presidenta o Presidente de la República, dispondrá mediante decreto ejecutivo al Consejo Nacional Electoral, la convocatoria a consulta popular, en los siguientes casos: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pStyle w:val="ListParagraph"/>
        <w:numPr>
          <w:ilvl w:val="0"/>
          <w:numId w:val="3"/>
        </w:numPr>
        <w:jc w:val="both"/>
        <w:rPr>
          <w:rFonts w:ascii="Bookman Old Style" w:hAnsi="Bookman Old Style"/>
          <w:color w:val="000000" w:themeColor="text1"/>
        </w:rPr>
      </w:pPr>
      <w:r w:rsidRPr="00676DED">
        <w:rPr>
          <w:rFonts w:ascii="Bookman Old Style" w:hAnsi="Bookman Old Style"/>
          <w:color w:val="000000" w:themeColor="text1"/>
        </w:rPr>
        <w:t>Respecto de los asuntos que estime convenientes, al tenor de las facultades contenidas en la Constitución;</w:t>
      </w:r>
    </w:p>
    <w:p w:rsidR="00676DED" w:rsidRPr="00676DED" w:rsidRDefault="00676DED" w:rsidP="00676DED">
      <w:pPr>
        <w:pStyle w:val="ListParagraph"/>
        <w:numPr>
          <w:ilvl w:val="0"/>
          <w:numId w:val="3"/>
        </w:numPr>
        <w:jc w:val="both"/>
        <w:rPr>
          <w:rFonts w:ascii="Bookman Old Style" w:hAnsi="Bookman Old Style"/>
          <w:color w:val="000000" w:themeColor="text1"/>
        </w:rPr>
      </w:pPr>
      <w:r w:rsidRPr="00676DED">
        <w:rPr>
          <w:rFonts w:ascii="Bookman Old Style" w:hAnsi="Bookman Old Style"/>
          <w:color w:val="000000" w:themeColor="text1"/>
        </w:rPr>
        <w:t>Sobre un proyecto de ley que haya sido negado por la Asamblea Nacional, para lo cual acompañará certificación de la Secretaría General de dicho organismo en la que conste la resolución de negativa del proyecto de ley;</w:t>
      </w:r>
    </w:p>
    <w:p w:rsidR="00676DED" w:rsidRPr="00676DED" w:rsidRDefault="00676DED" w:rsidP="00676DED">
      <w:pPr>
        <w:pStyle w:val="ListParagraph"/>
        <w:numPr>
          <w:ilvl w:val="0"/>
          <w:numId w:val="3"/>
        </w:numPr>
        <w:jc w:val="both"/>
        <w:rPr>
          <w:rFonts w:ascii="Bookman Old Style" w:hAnsi="Bookman Old Style"/>
          <w:color w:val="000000" w:themeColor="text1"/>
        </w:rPr>
      </w:pPr>
      <w:r w:rsidRPr="00676DED">
        <w:rPr>
          <w:rFonts w:ascii="Bookman Old Style" w:hAnsi="Bookman Old Style"/>
          <w:color w:val="000000" w:themeColor="text1"/>
        </w:rPr>
        <w:t>Para la enmienda de uno o varios artículos de la Constitución; y,</w:t>
      </w:r>
      <w:r w:rsidRPr="00676DED">
        <w:rPr>
          <w:rFonts w:ascii="Bookman Old Style" w:hAnsi="Bookman Old Style"/>
          <w:color w:val="000000" w:themeColor="text1"/>
        </w:rPr>
        <w:br/>
      </w:r>
    </w:p>
    <w:p w:rsidR="00676DED" w:rsidRPr="00676DED" w:rsidRDefault="00676DED" w:rsidP="00676DED">
      <w:pPr>
        <w:pStyle w:val="ListParagraph"/>
        <w:numPr>
          <w:ilvl w:val="0"/>
          <w:numId w:val="3"/>
        </w:numPr>
        <w:jc w:val="both"/>
        <w:rPr>
          <w:rFonts w:ascii="Bookman Old Style" w:hAnsi="Bookman Old Style"/>
          <w:color w:val="000000" w:themeColor="text1"/>
        </w:rPr>
      </w:pPr>
      <w:r w:rsidRPr="00676DED">
        <w:rPr>
          <w:rFonts w:ascii="Bookman Old Style" w:hAnsi="Bookman Old Style"/>
          <w:color w:val="000000" w:themeColor="text1"/>
        </w:rPr>
        <w:t>Para que la ciudadanía resuelva mediante consulta popular la convocatoria a Asamblea Constituyente, incluyendo la forma de elección de las o los representantes y las reglas del proceso electoral.</w:t>
      </w: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6</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Consulta Popular de Gobiernos Autónomos Descentralizados.- Los gobiernos autónomos descentralizados para desarrollar una consulta popular sobre asuntos de interés para su jurisdicción, deberán remitir a las delegaciones provinciales del Consejo Nacional Electoral, la solicitud adjuntando: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a.</w:t>
      </w:r>
      <w:r w:rsidRPr="00676DED">
        <w:rPr>
          <w:rFonts w:ascii="Bookman Old Style" w:hAnsi="Bookman Old Style"/>
          <w:color w:val="000000" w:themeColor="text1"/>
          <w:sz w:val="22"/>
          <w:szCs w:val="22"/>
        </w:rPr>
        <w:t xml:space="preserve"> La petición de convocatoria de consulta popular, en la que incluirán los temas a ser consultados; y,</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lastRenderedPageBreak/>
        <w:t>b.</w:t>
      </w:r>
      <w:r w:rsidRPr="00676DED">
        <w:rPr>
          <w:rFonts w:ascii="Bookman Old Style" w:hAnsi="Bookman Old Style"/>
          <w:color w:val="000000" w:themeColor="text1"/>
          <w:sz w:val="22"/>
          <w:szCs w:val="22"/>
        </w:rPr>
        <w:t xml:space="preserve"> La resolución del correspondiente Gobierno Autónomo Descentralizado, en la que conste que el pedido fue aprobado con la votación conforme de las tres cuartas partes de sus integrantes.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7</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Consulta Popular por Iniciativa Ciudadana.- La consulta popular nacional requerirá el respaldo de un número no inferior al cinco por ciento de personas inscritas en el registro utilizado en el último proceso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Cuando se refiera a la enmienda de uno o varios artículos de la Constitución, deberá contar con el respaldo de al menos el ocho por ciento.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 xml:space="preserve">La consulta popular de carácter local, contará con el respaldo de un número no inferior al diez por ciento de las personas inscritas en el registro utilizado en el último proceso electoral de la respectiva jurisdicción. </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iniciativa de consulta popular que provenga de ecuatorianas y ecuatorianos residentes en el exterior, por asuntos de su interés relacionados con el Estado Ecuatoriano, requerirá el respaldo de un número no inferior al cinco por ciento de las personas inscritas en el registro utilizado en el último proceso electoral de la respectiva circunscripción especial del exterior.</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consulta popular que tenga por objeto convocar a una Asamblea Constituyente, precisará el respaldo del doce por ciento de las personas inscritas en el registro utilizado en el último proceso electoral nacional.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8</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Insistencia de Consulta Popular.- Cuando la propuesta de reforma o enmienda constitucional presentada por la ciudadanía a la Asamblea Nacional no haya sido tratada por la Función Legislativa en el plazo de un año, los proponentes podrán solicitar al Consejo Nacional Electoral la convocatoria a consulta popular, sin necesidad de presentar respaldos de firmas.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El Consejo Nacional Electoral una vez recibida la petición por parte de las o los proponentes, solicitará a la Secretaría de la Asamblea Nacional para que en el plazo de tres días certifique la fecha de presentación de la propuesta y con tal certificación, enviará a la Corte Constitucional para que emita el dictamen constitucional respectivo.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9</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Consulta Popular Planteada por la Asamblea Nacional.- La Asamblea Nacional, podrá solicitar al Consejo Nacional Electoral la convocatoria a consulta popular, respecto a la autorización o no para realizar actividades extractivas de los recursos no renovables en áreas protegidas o en zonas declaradas como intangibles, incluida la explotación forestal.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Por decisión de las dos terceras partes de los integrantes de la Asamblea Nacional, esta podrá también resolver que la ciudadanía se pronuncie sobre la convocatoria a Asamblea Constituyente, a través de consulta popular; para cuyo efecto al pedido se deberá adjuntar:</w:t>
      </w:r>
    </w:p>
    <w:p w:rsidR="00676DED" w:rsidRPr="00676DED" w:rsidRDefault="00676DED" w:rsidP="00676DED">
      <w:pPr>
        <w:pStyle w:val="ListParagraph"/>
        <w:numPr>
          <w:ilvl w:val="0"/>
          <w:numId w:val="1"/>
        </w:numPr>
        <w:jc w:val="both"/>
        <w:rPr>
          <w:rFonts w:ascii="Bookman Old Style" w:hAnsi="Bookman Old Style"/>
          <w:color w:val="000000" w:themeColor="text1"/>
        </w:rPr>
      </w:pPr>
      <w:r w:rsidRPr="00676DED">
        <w:rPr>
          <w:rFonts w:ascii="Bookman Old Style" w:hAnsi="Bookman Old Style"/>
          <w:color w:val="000000" w:themeColor="text1"/>
        </w:rPr>
        <w:t>Solicitud de convocatoria a consulta popular;</w:t>
      </w:r>
    </w:p>
    <w:p w:rsidR="00676DED" w:rsidRPr="00676DED" w:rsidRDefault="00676DED" w:rsidP="00676DED">
      <w:pPr>
        <w:pStyle w:val="ListParagraph"/>
        <w:numPr>
          <w:ilvl w:val="0"/>
          <w:numId w:val="1"/>
        </w:numPr>
        <w:jc w:val="both"/>
        <w:rPr>
          <w:rFonts w:ascii="Bookman Old Style" w:hAnsi="Bookman Old Style"/>
          <w:color w:val="000000" w:themeColor="text1"/>
        </w:rPr>
      </w:pPr>
      <w:r w:rsidRPr="00676DED">
        <w:rPr>
          <w:rFonts w:ascii="Bookman Old Style" w:hAnsi="Bookman Old Style"/>
          <w:color w:val="000000" w:themeColor="text1"/>
        </w:rPr>
        <w:t>La resolución en la que conste la aprobación correspondiente; y,</w:t>
      </w:r>
    </w:p>
    <w:p w:rsidR="00676DED" w:rsidRPr="00676DED" w:rsidRDefault="00676DED" w:rsidP="00676DED">
      <w:pPr>
        <w:pStyle w:val="ListParagraph"/>
        <w:numPr>
          <w:ilvl w:val="0"/>
          <w:numId w:val="1"/>
        </w:numPr>
        <w:jc w:val="both"/>
        <w:rPr>
          <w:rFonts w:ascii="Bookman Old Style" w:hAnsi="Bookman Old Style"/>
          <w:color w:val="000000" w:themeColor="text1"/>
        </w:rPr>
      </w:pPr>
      <w:r w:rsidRPr="00676DED">
        <w:rPr>
          <w:rFonts w:ascii="Bookman Old Style" w:hAnsi="Bookman Old Style"/>
          <w:color w:val="000000" w:themeColor="text1"/>
        </w:rPr>
        <w:t>La forma de elección de las o los representantes y las reglas del proceso electoral.</w:t>
      </w: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10</w:t>
      </w:r>
      <w:r w:rsidRPr="00676DED">
        <w:rPr>
          <w:rFonts w:ascii="Bookman Old Style" w:hAnsi="Bookman Old Style"/>
          <w:b/>
          <w:color w:val="000000" w:themeColor="text1"/>
        </w:rPr>
        <w:t>.-</w:t>
      </w:r>
      <w:r w:rsidRPr="00676DED">
        <w:rPr>
          <w:rFonts w:ascii="Bookman Old Style" w:hAnsi="Bookman Old Style"/>
          <w:color w:val="000000" w:themeColor="text1"/>
        </w:rPr>
        <w:t xml:space="preserve"> Referéndum para Reforma Constitucional.- </w:t>
      </w:r>
      <w:r w:rsidRPr="00676DED">
        <w:rPr>
          <w:rFonts w:ascii="Bookman Old Style" w:hAnsi="Bookman Old Style"/>
          <w:color w:val="000000" w:themeColor="text1"/>
          <w:sz w:val="22"/>
          <w:szCs w:val="22"/>
        </w:rPr>
        <w:t xml:space="preserve">Una vez cumplido el procedimiento en la Asamblea Nacional, conforme al Art. 442 de la Constitución de la República del Ecuador, el Consejo Nacional Electoral </w:t>
      </w:r>
      <w:r w:rsidRPr="00676DED">
        <w:rPr>
          <w:rFonts w:ascii="Bookman Old Style" w:hAnsi="Bookman Old Style"/>
          <w:color w:val="000000" w:themeColor="text1"/>
          <w:sz w:val="22"/>
          <w:szCs w:val="22"/>
        </w:rPr>
        <w:lastRenderedPageBreak/>
        <w:t>convocará a referéndum dentro del plazo de cuarenta y cinco días contados a partir de la fecha de notificación por parte de la Asamblea Nacional.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11</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Consultas Populares sobre la Conformación de Regiones y Distritos Metropolitanos.- La consulta popular en las provincias que deseen formar una región o los cantones interesados en formar un distrito metropolitano, procede una vez cumplidos los requisitos establecidos en los artículos 196 del Código de la Democracia y 23 de la Ley Orgánica de Participación Ciudadana.</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12</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Dictamen Constitucional.- En los casos previstos en la Constitución y la ley, previo a la convocatoria a consulta popular, se requerirá el dictamen previo favorable de la Corte Constitucional.</w:t>
      </w:r>
    </w:p>
    <w:p w:rsidR="00676DED" w:rsidRPr="00676DED" w:rsidRDefault="00676DED" w:rsidP="00676DED">
      <w:pPr>
        <w:jc w:val="both"/>
        <w:rPr>
          <w:rFonts w:ascii="Bookman Old Style" w:hAnsi="Bookman Old Style"/>
          <w:color w:val="000000" w:themeColor="text1"/>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DE LA REVOCATORIA DEL MANDATO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13</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Procedencia.- Las ciudadanas y ciudadanos podrán proponer la revocatoria del mandato de las autoridades de elección popular una vez cumplido el primer año y antes del último año del período para el que fueron electas dichas autoridades.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Podrán solicitar la revocatoria del mandato las ciudadanas y ciudadanos que consten en el registro electoral utilizado en el último proceso electoral realizado en la circunscripción de la autoridad a la que se propone revocar el mandato.</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Una persona o sujeto político podrá solicitar por una sola vez los formularios para la recolección de firmas para proponer la revocatoria del mandato de una autoridad.</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Las autoridades ejecutivas de cada nivel de gobierno están prohibidas de impulsar, promover o participar en la campaña electoral de revocatoria del mandato de los miembros órganos legislativos, ni viceversa. Tampoco podrán hacerlo quienes pudieran ser beneficiarios directos en caso de que la autoridad resultare revocada.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14</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Contenido de la Solicitud de Formulario para la Recolección de Firmas.- La solicitud se la presentará en el formulario entregado por el Consejo Nacional Electoral adjuntando copia de la cédula y certificado de votación de el o los peticionarios y los motivos por los cuales se propone la revocatoria del mandato los cuales deberán referirse 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pStyle w:val="ListParagraph"/>
        <w:numPr>
          <w:ilvl w:val="0"/>
          <w:numId w:val="4"/>
        </w:numPr>
        <w:jc w:val="both"/>
        <w:rPr>
          <w:rFonts w:ascii="Bookman Old Style" w:hAnsi="Bookman Old Style"/>
          <w:color w:val="000000" w:themeColor="text1"/>
        </w:rPr>
      </w:pPr>
      <w:r w:rsidRPr="00676DED">
        <w:rPr>
          <w:rFonts w:ascii="Bookman Old Style" w:hAnsi="Bookman Old Style"/>
          <w:color w:val="000000" w:themeColor="text1"/>
        </w:rPr>
        <w:t>El o los aspectos del plan de trabajo presentado en la inscripción de la candidatura y que habrían sido incumplidos por la autoridad contra quien se dirige la petición, para lo cual deberá adjuntar el plan de trabajo debidamente certificado por el Consejo Nacional Electoral o sus delegaciones provinciales;</w:t>
      </w:r>
    </w:p>
    <w:p w:rsidR="00676DED" w:rsidRPr="00676DED" w:rsidRDefault="00676DED" w:rsidP="00676DED">
      <w:pPr>
        <w:pStyle w:val="ListParagraph"/>
        <w:numPr>
          <w:ilvl w:val="0"/>
          <w:numId w:val="4"/>
        </w:numPr>
        <w:jc w:val="both"/>
        <w:rPr>
          <w:rFonts w:ascii="Bookman Old Style" w:hAnsi="Bookman Old Style"/>
          <w:color w:val="000000" w:themeColor="text1"/>
        </w:rPr>
      </w:pPr>
      <w:r w:rsidRPr="00676DED">
        <w:rPr>
          <w:rFonts w:ascii="Bookman Old Style" w:hAnsi="Bookman Old Style"/>
          <w:color w:val="000000" w:themeColor="text1"/>
        </w:rPr>
        <w:t>La o las disposiciones legales relativas a la participación ciudadana que consideran incumplidas o violentadas y la descripción de las condiciones en las que se habría producido el incumplimiento o la violación legal; y/o,</w:t>
      </w:r>
    </w:p>
    <w:p w:rsidR="00676DED" w:rsidRPr="00676DED" w:rsidRDefault="00676DED" w:rsidP="00676DED">
      <w:pPr>
        <w:pStyle w:val="ListParagraph"/>
        <w:numPr>
          <w:ilvl w:val="0"/>
          <w:numId w:val="4"/>
        </w:numPr>
        <w:jc w:val="both"/>
        <w:rPr>
          <w:rFonts w:ascii="Bookman Old Style" w:hAnsi="Bookman Old Style"/>
          <w:color w:val="000000" w:themeColor="text1"/>
        </w:rPr>
      </w:pPr>
      <w:r w:rsidRPr="00676DED">
        <w:rPr>
          <w:rFonts w:ascii="Bookman Old Style" w:hAnsi="Bookman Old Style"/>
          <w:color w:val="000000" w:themeColor="text1"/>
        </w:rPr>
        <w:lastRenderedPageBreak/>
        <w:t>Las funciones y obligaciones establecidas en la Constitución y la ley, referentes a la dignidad que ejerce la autoridad, y la descripción de las condiciones en las que se habría producido el incumplimiento.</w:t>
      </w:r>
    </w:p>
    <w:p w:rsidR="00676DED" w:rsidRPr="00676DED" w:rsidRDefault="00676DED" w:rsidP="00676DED">
      <w:pPr>
        <w:ind w:left="360"/>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motivación no podrá cuestionar las decisiones asumidas en el cumplimiento de las funciones y atribuciones que por ley le corresponde a la autoridad.</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En el caso de que más de un ciudadano o ciudadana suscriban una solicitud de formulario deberán designar un procurador común.</w:t>
      </w:r>
    </w:p>
    <w:p w:rsidR="00676DED" w:rsidRPr="00676DED" w:rsidRDefault="00676DED" w:rsidP="00676DED">
      <w:pPr>
        <w:ind w:left="360"/>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15</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Notificaciones.- El Consejo Nacional Electoral o la delegación provincial según sea el caso notificará a la autoridad cuestionada adjuntando copia de la solicitud para que en el término de siete (7) días la autoridad impugne en forma documentada, si esta no cumple los requisitos de admisibilidad.</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En el caso de las y los ciudadanos residentes en el exterior las solicitudes se presentarán en cualquiera de los consulados rentados del Ecuador los mismos que remitirán la documentación a la Secretaría General del Consejo Nacional Electoral.</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Una vez cumplido el término de siete (7) días otorgados a la autoridad cuestionada, las delegaciones provinciales en el término de dos (2) días remitirán el expediente completo a la Secretaría General del Consejo Nacional Electoral.</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16</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Admisión.- A partir de la recepción en la Secretaría General del Consejo Nacional Electoral del expediente entregado por la Delegación Provincial correspondiente, el Pleno del Consejo Nacional Electoral contará con un término de quince (15) días, dentro de los cuales emitirá su resolución admitiendo o negando la solicitud.</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 xml:space="preserve">En los casos en los que la solicitud fuera entregada directamente en la Secretaría General del Consejo Nacional Electoral, el término indicado en el inciso anterior empezará a </w:t>
      </w:r>
      <w:proofErr w:type="spellStart"/>
      <w:r w:rsidRPr="00676DED">
        <w:rPr>
          <w:rFonts w:ascii="Bookman Old Style" w:hAnsi="Bookman Old Style"/>
          <w:color w:val="000000" w:themeColor="text1"/>
          <w:sz w:val="22"/>
          <w:szCs w:val="22"/>
        </w:rPr>
        <w:t>decurrir</w:t>
      </w:r>
      <w:proofErr w:type="spellEnd"/>
      <w:r w:rsidRPr="00676DED">
        <w:rPr>
          <w:rFonts w:ascii="Bookman Old Style" w:hAnsi="Bookman Old Style"/>
          <w:color w:val="000000" w:themeColor="text1"/>
          <w:sz w:val="22"/>
          <w:szCs w:val="22"/>
        </w:rPr>
        <w:t xml:space="preserve"> una vez que el término para la presentación de las impugnaciones haya concluido.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El Consejo Nacional Electoral verificará que los proponentes se encuentren en ejercicio de los derechos de participación; consten inscritos en el registro electoral de la circunscripción en la que se propone la revocatoria de mandato; que no se encuentren incursos en alguna de las causales de inhabilidad; y, que la motivación se refiera a las causales establecidas en el artículo 14 de este reglamento.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Una solicitud será negada si uno o más de quienes solicitan el formulario no se encuentran inscritos en el registro electoral correspondiente, si están incursos en alguna de las causales de inhabilidad, o si la motivación no se enmarca en las causales establecidas en el artículo 14 de este reglamento.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 xml:space="preserve">De ser admitida la solicitud el Consejo Nacional Electoral dispondrá la entrega del formato de formulario para la recolección de las firmas de respaldo necesarias para proponer la revocatoria del mandato. En dicha </w:t>
      </w:r>
      <w:r w:rsidRPr="00676DED">
        <w:rPr>
          <w:rFonts w:ascii="Bookman Old Style" w:hAnsi="Bookman Old Style"/>
          <w:color w:val="000000" w:themeColor="text1"/>
          <w:sz w:val="22"/>
          <w:szCs w:val="22"/>
        </w:rPr>
        <w:lastRenderedPageBreak/>
        <w:t>resolución el Consejo Nacional Electoral determinará el número de firmas respaldos válidos necesarios así como el tiempo del que se dispone para su presentación.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17</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Porcentajes de Respaldos.- Para iniciar el proceso de revocatoria del mandato de autoridades de elección popular nacionales, regionales, locales y de las circunscripciones especiales del exterior, se deberá contar con el respaldo de firmas proporcional al número de los electores inscritos en el padrón de la correspondiente circunscripción, de acuerdo al siguiente detalle:</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a.</w:t>
      </w:r>
      <w:r w:rsidRPr="00676DED">
        <w:rPr>
          <w:rFonts w:ascii="Bookman Old Style" w:hAnsi="Bookman Old Style"/>
          <w:color w:val="000000" w:themeColor="text1"/>
          <w:sz w:val="22"/>
          <w:szCs w:val="22"/>
        </w:rPr>
        <w:t xml:space="preserve"> El veinte y cinco por ciento (25%) de respaldos para las circunscripciones de hasta 5.000 electores;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b.</w:t>
      </w:r>
      <w:r w:rsidRPr="00676DED">
        <w:rPr>
          <w:rFonts w:ascii="Bookman Old Style" w:hAnsi="Bookman Old Style"/>
          <w:color w:val="000000" w:themeColor="text1"/>
          <w:sz w:val="22"/>
          <w:szCs w:val="22"/>
        </w:rPr>
        <w:t xml:space="preserve"> El veinte por ciento (20%) de respaldos para las circunscripciones de 5.001 hasta 10.000 electores;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c.</w:t>
      </w:r>
      <w:r w:rsidRPr="00676DED">
        <w:rPr>
          <w:rFonts w:ascii="Bookman Old Style" w:hAnsi="Bookman Old Style"/>
          <w:color w:val="000000" w:themeColor="text1"/>
          <w:sz w:val="22"/>
          <w:szCs w:val="22"/>
        </w:rPr>
        <w:t xml:space="preserve"> El diecisiete punto cinco por ciento (17.5%) de respaldos para las circunscripciones de 10.001 hasta 50.000 electores;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d.</w:t>
      </w:r>
      <w:r w:rsidRPr="00676DED">
        <w:rPr>
          <w:rFonts w:ascii="Bookman Old Style" w:hAnsi="Bookman Old Style"/>
          <w:color w:val="000000" w:themeColor="text1"/>
          <w:sz w:val="22"/>
          <w:szCs w:val="22"/>
        </w:rPr>
        <w:t xml:space="preserve"> El quince por ciento (15%) de respaldos para las circunscripciones electores de 50.001 hasta 150.000 electores;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e.</w:t>
      </w:r>
      <w:r w:rsidRPr="00676DED">
        <w:rPr>
          <w:rFonts w:ascii="Bookman Old Style" w:hAnsi="Bookman Old Style"/>
          <w:color w:val="000000" w:themeColor="text1"/>
          <w:sz w:val="22"/>
          <w:szCs w:val="22"/>
        </w:rPr>
        <w:t xml:space="preserve"> El doce punto cinco (12.5%) de respaldos para las circunscripciones de 150.001 hasta 300.000 electores; y,</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f.</w:t>
      </w:r>
      <w:r w:rsidRPr="00676DED">
        <w:rPr>
          <w:rFonts w:ascii="Bookman Old Style" w:hAnsi="Bookman Old Style"/>
          <w:color w:val="000000" w:themeColor="text1"/>
          <w:sz w:val="22"/>
          <w:szCs w:val="22"/>
        </w:rPr>
        <w:t xml:space="preserve"> El diez por ciento (10%) para las circunscripciones de más de 300.000 electores.</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Para determinar el porcentaje y número de firmas necesarias para solicitar la revocatoria del mandato de una autoridad se utilizará el registro electoral utilizado en el último proceso electoral de la circunscripción a la que pertenezca la autoridad cuestionada.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18</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Plazos para Recolección de Respaldos.- Para el ejercicio de la revocatoria de mandato, las y los proponentes contarán con los siguientes plazos para la recolección de los respaldos de firmas: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1.-</w:t>
      </w:r>
      <w:r w:rsidRPr="00676DED">
        <w:rPr>
          <w:rFonts w:ascii="Bookman Old Style" w:hAnsi="Bookman Old Style"/>
          <w:color w:val="000000" w:themeColor="text1"/>
          <w:sz w:val="22"/>
          <w:szCs w:val="22"/>
        </w:rPr>
        <w:t xml:space="preserve"> Ciento ochenta días para el caso de pedido de revocatoria a funcionarios nacionales y autoridades cuyas circunscripciones sean mayores a 300.000 electores.</w:t>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2.-</w:t>
      </w:r>
      <w:r w:rsidRPr="00676DED">
        <w:rPr>
          <w:rFonts w:ascii="Bookman Old Style" w:hAnsi="Bookman Old Style"/>
          <w:color w:val="000000" w:themeColor="text1"/>
          <w:sz w:val="22"/>
          <w:szCs w:val="22"/>
        </w:rPr>
        <w:t xml:space="preserve"> Ciento cincuenta días para las circunscripciones electorales de entre 150.001 a 300.000 electores.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3.-</w:t>
      </w:r>
      <w:r w:rsidRPr="00676DED">
        <w:rPr>
          <w:rFonts w:ascii="Bookman Old Style" w:hAnsi="Bookman Old Style"/>
          <w:color w:val="000000" w:themeColor="text1"/>
          <w:sz w:val="22"/>
          <w:szCs w:val="22"/>
        </w:rPr>
        <w:t xml:space="preserve"> Ciento veinte días en las circunscripciones entre 50.001 hasta 150.000 electores.</w:t>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4.-</w:t>
      </w:r>
      <w:r w:rsidRPr="00676DED">
        <w:rPr>
          <w:rFonts w:ascii="Bookman Old Style" w:hAnsi="Bookman Old Style"/>
          <w:color w:val="000000" w:themeColor="text1"/>
          <w:sz w:val="22"/>
          <w:szCs w:val="22"/>
        </w:rPr>
        <w:t xml:space="preserve"> Noventa días cuando se trate de circunscripciones de 10.001 hasta 50.000 electores.</w:t>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5.-</w:t>
      </w:r>
      <w:r w:rsidRPr="00676DED">
        <w:rPr>
          <w:rFonts w:ascii="Bookman Old Style" w:hAnsi="Bookman Old Style"/>
          <w:color w:val="000000" w:themeColor="text1"/>
          <w:sz w:val="22"/>
          <w:szCs w:val="22"/>
        </w:rPr>
        <w:t xml:space="preserve"> Sesenta días cuando se trate de circunscripciones de hasta 10.000 electores.</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Los plazos señalados correrán a partir del día de entrega de los formularios por parte del Consejo Nacional Electoral, sus delegaciones provinciales o los consulados del Ecuador rentados en el exterior.</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DE LOS FORMULARIOS PARA LA RECOLECCION DE FIRMAS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19</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Formato de Formularios.- Quienes decidan promover una reforma o enmienda constitucional, iniciativa popular normativa, consulta popular, referéndum o revocatoria del mandato deberán solicitar previamente al </w:t>
      </w:r>
      <w:r w:rsidRPr="00676DED">
        <w:rPr>
          <w:rFonts w:ascii="Bookman Old Style" w:hAnsi="Bookman Old Style"/>
          <w:color w:val="000000" w:themeColor="text1"/>
          <w:sz w:val="22"/>
          <w:szCs w:val="22"/>
        </w:rPr>
        <w:lastRenderedPageBreak/>
        <w:t xml:space="preserve">Consejo Nacional Electoral el formato de formulario necesario para la recolección de las firmas de respaldo. </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 solicitud de formularios contendrá la siguiente información: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a.</w:t>
      </w:r>
      <w:r w:rsidRPr="00676DED">
        <w:rPr>
          <w:rFonts w:ascii="Bookman Old Style" w:hAnsi="Bookman Old Style"/>
          <w:color w:val="000000" w:themeColor="text1"/>
          <w:sz w:val="22"/>
          <w:szCs w:val="22"/>
        </w:rPr>
        <w:t xml:space="preserve"> Nombres, apellidos y números de cédula de las o los peticionarios; y,</w:t>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b.</w:t>
      </w:r>
      <w:r w:rsidRPr="00676DED">
        <w:rPr>
          <w:rFonts w:ascii="Bookman Old Style" w:hAnsi="Bookman Old Style"/>
          <w:color w:val="000000" w:themeColor="text1"/>
          <w:sz w:val="22"/>
          <w:szCs w:val="22"/>
        </w:rPr>
        <w:t xml:space="preserve"> Nombres, apellidos, números de cédula, correo electrónico, dirección, números telefónicos, original y copias a color de la cédula y papeleta de votación de la o el representante o procurador común.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c.</w:t>
      </w:r>
      <w:r w:rsidRPr="00676DED">
        <w:rPr>
          <w:rFonts w:ascii="Bookman Old Style" w:hAnsi="Bookman Old Style"/>
          <w:color w:val="000000" w:themeColor="text1"/>
          <w:sz w:val="22"/>
          <w:szCs w:val="22"/>
        </w:rPr>
        <w:t xml:space="preserve"> Certificado de estar en ejercicio de los derechos de participación otorgado por el Consejo Nacional Electoral.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Para el caso de consultas populares, a la petición de formularios se adjuntará el texto de la o las preguntas planteadas.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El Consejo Nacional Electoral diseñará los formularios y los entregará a la o los peticionarios para que proceda con la recolección de firmas.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Dentro  del plazo de 180 días el peticionario entregará los formularios que contengan  las firmas de respaldo; una vez recibidos los formularios en la Secretaría General o en las Delegaciones Provinciales, según corresponda el Consejo Nacional  procederá con la verificación del 100% de las firmas de respaldo y emitirá el informe respectivo en un plazo máximo de quince días.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Si  el peticionario cumple con los requisitos, el Consejo Nacional Electoral remitirá a la Corte Constitucional el informe, a fin de que dicho organismo emita el dictamen de constitucionalidad en los casos que correspondan.</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Para la iniciativa popular normativa debe incluir el proyecto de creación, reforma o derogatoria de la norma jurídica, reforma o enmienda constitucional propuesta.</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Para la revocatoria del mandato los motivos por los que se propone revocar el mandato de una autoridad.</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Los textos de la propuesta de consulta popular, de la iniciativa popular normativa o de la motivación para proponer la revocatoria del mandato se presentarán por escrito y en medio magnético.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En todos los casos los formularios para la recolección de firmas podrán ser solicitados únicamente por ciudadanas y ciudadanos inscritos en el registro electoral de la circunscripción en la que se propone iniciativa popular normativa, la consulta popular, referéndum o revocatoria del mandato.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20</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Obligatoriedad de Formularios.- Las firmas de respaldo serán recolectadas únicamente en los formatos de formularios entregados por el Consejo Nacional Electoral. Los interesados reproducirán el número de formularios que consideren necesarios.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Los nombres, apellidos y números de cédula de los adherentes consignados en los formularios deberán ser ingresados por los peticionarios a la aplicación informática entregada por el Consejo Nacional Electoral.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21</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Contenido de los Formularios.- Los formularios para la recolección de firmas de respaldo contendrán los siguientes campos: circunscripción </w:t>
      </w:r>
      <w:r w:rsidRPr="00676DED">
        <w:rPr>
          <w:rFonts w:ascii="Bookman Old Style" w:hAnsi="Bookman Old Style"/>
          <w:color w:val="000000" w:themeColor="text1"/>
          <w:sz w:val="22"/>
          <w:szCs w:val="22"/>
        </w:rPr>
        <w:lastRenderedPageBreak/>
        <w:t>territorial, fecha, número de hoja, nombres y apellidos, número de cédula, firma y/o huella de los adherentes, firma, número y copia legible de cédula de ciudadanía del responsable de la recolección. El texto de la o las preguntas para la consulta popular, del proyecto de creación, reforma o derogatoria de la norma jurídica; reforma o enmienda constitucional propuesta; nombres, apellidos y cargo del dignatario contra quien se propone la revocatoria del mandato y los motivos por los que se propone dicha revocatoria.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22</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El Consejo Nacional Electoral verificará la autenticidad de las firmas de acuerdo a la normativa dictada para el efecto.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23</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Plazo para la Recolección de Firmas.- En los casos de consulta popular y referéndum, el plazo para recolección y entrega de firmas de respaldo y del medio magnético con los nombres, apellidos y números de cédula de los adherentes será de ciento ochenta días, contados desde la entrega del formato de formulario. De no cumplirse este plazo la solicitud no será admitida.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Para el caso de revocatorias de mandato los plazos para la recolección de respaldos de firmas, serán los señalados en el artículo 18, de este reglamento.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En ningún caso se permitirá la acumulación de respaldos de distintos peticionarios.</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El Consejo Nacional Electoral y sus delegaciones provinciales a través de las secretarías, llevarán un registro detallado de la entrega de los formatos de formulario.</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24</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Revisión de Base de Datos.- A la solicitud de consulta popular, referéndum, iniciativa popular normativa o revocatoria de mandato, se adjuntará los formularios con las firmas de respaldo y el medio magnético con la base de datos de los ciudadanos que consignaron su apoyo.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El Consejo Nacional Electoral  o sus delegaciones verificarán que la información contenida en el medio magnético cumpla con las siguientes condiciones: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pStyle w:val="ListParagraph"/>
        <w:numPr>
          <w:ilvl w:val="0"/>
          <w:numId w:val="2"/>
        </w:numPr>
        <w:jc w:val="both"/>
        <w:rPr>
          <w:rFonts w:ascii="Bookman Old Style" w:hAnsi="Bookman Old Style"/>
          <w:color w:val="000000" w:themeColor="text1"/>
        </w:rPr>
      </w:pPr>
      <w:r w:rsidRPr="00676DED">
        <w:rPr>
          <w:rFonts w:ascii="Bookman Old Style" w:hAnsi="Bookman Old Style"/>
          <w:color w:val="000000" w:themeColor="text1"/>
        </w:rPr>
        <w:t>Que los nombres, apellidos y números de cédula de los ciudadanos que respaldan una iniciativa popular normativa, consulta popular, referéndum, o revocatoria de mandato consten en el registro electoral nacional o de la jurisdicción correspondiente, según el caso; y,</w:t>
      </w:r>
    </w:p>
    <w:p w:rsidR="00676DED" w:rsidRPr="00676DED" w:rsidRDefault="00676DED" w:rsidP="00676DED">
      <w:pPr>
        <w:pStyle w:val="ListParagraph"/>
        <w:numPr>
          <w:ilvl w:val="0"/>
          <w:numId w:val="2"/>
        </w:numPr>
        <w:jc w:val="both"/>
        <w:rPr>
          <w:rFonts w:ascii="Bookman Old Style" w:hAnsi="Bookman Old Style"/>
          <w:color w:val="000000" w:themeColor="text1"/>
        </w:rPr>
      </w:pPr>
      <w:r w:rsidRPr="00676DED">
        <w:rPr>
          <w:rFonts w:ascii="Bookman Old Style" w:hAnsi="Bookman Old Style"/>
          <w:color w:val="000000" w:themeColor="text1"/>
        </w:rPr>
        <w:t>Que de existir registros repetidos, se validará solo uno de ellos.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De no cumplirse con el número mínimo de registros requeridos no se procederá con la verificación de la autenticidad de las firmas.</w:t>
      </w:r>
    </w:p>
    <w:p w:rsidR="00676DED" w:rsidRPr="00676DED" w:rsidRDefault="00676DED" w:rsidP="00676DED">
      <w:pPr>
        <w:jc w:val="both"/>
        <w:rPr>
          <w:rStyle w:val="nrma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25</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Verificación de la Autenticidad de las Firmas.- Para la verificación de firmas, se considerarán únicamente aquellos registros validados en la revisión de la base de datos de nombres, apellidos y números de cédula entregados por los solicitantes. La autenticidad de las firmas se determinará a través del sistema informático.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En el caso de que en el formulario conste el registro de huellas dactilares y no exista firma, dichos registros se validarán cuando la huella conste en el registro electoral.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De no contar con la firma o huella dactilar del o la ciudadana en el Registro de Firmas del Consejo Nacional Electoral, esta será considerada válida.</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Si en la verificación informática cumple con el número mínimo requerido de respaldos se dará por cumplido este requisito. De no alcanzar el mínimo requerido se procederá a una verificación visual de aquellas firmas no admitidas en la verificación informática.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DE LA TRANSPARENCIA Y LA PARTICIPACION</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26</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Notificación a los Interesados.- El Consejo Nacional Electoral o la delegación provincial notificará a los interesados el inicio de los procesos de verificación y validación de firmas, para lo cual, los proponentes de una iniciativa popular normativa, consulta popular o revocatoria de mandato, podrán acreditar delegados, los mismos que tendrán las siguientes facultades:</w:t>
      </w:r>
    </w:p>
    <w:p w:rsidR="00676DED" w:rsidRPr="00676DED" w:rsidRDefault="00676DED" w:rsidP="00676DED">
      <w:pPr>
        <w:pStyle w:val="ListParagraph"/>
        <w:numPr>
          <w:ilvl w:val="0"/>
          <w:numId w:val="5"/>
        </w:numPr>
        <w:jc w:val="both"/>
        <w:rPr>
          <w:rFonts w:ascii="Bookman Old Style" w:hAnsi="Bookman Old Style"/>
          <w:color w:val="000000" w:themeColor="text1"/>
        </w:rPr>
      </w:pPr>
      <w:r w:rsidRPr="00676DED">
        <w:rPr>
          <w:rFonts w:ascii="Bookman Old Style" w:hAnsi="Bookman Old Style"/>
          <w:color w:val="000000" w:themeColor="text1"/>
        </w:rPr>
        <w:t>Estar presentes en todas las fases de verificación de respaldos;</w:t>
      </w:r>
    </w:p>
    <w:p w:rsidR="00676DED" w:rsidRPr="00676DED" w:rsidRDefault="00676DED" w:rsidP="00676DED">
      <w:pPr>
        <w:pStyle w:val="ListParagraph"/>
        <w:numPr>
          <w:ilvl w:val="0"/>
          <w:numId w:val="5"/>
        </w:numPr>
        <w:jc w:val="both"/>
        <w:rPr>
          <w:rFonts w:ascii="Bookman Old Style" w:hAnsi="Bookman Old Style"/>
          <w:color w:val="000000" w:themeColor="text1"/>
        </w:rPr>
      </w:pPr>
      <w:r w:rsidRPr="00676DED">
        <w:rPr>
          <w:rFonts w:ascii="Bookman Old Style" w:hAnsi="Bookman Old Style"/>
          <w:color w:val="000000" w:themeColor="text1"/>
        </w:rPr>
        <w:t>Expresar su inconformidad con la autenticidad o no de una firma y solicitar el criterio pericial; y,</w:t>
      </w:r>
    </w:p>
    <w:p w:rsidR="00676DED" w:rsidRPr="00676DED" w:rsidRDefault="00676DED" w:rsidP="00676DED">
      <w:pPr>
        <w:pStyle w:val="ListParagraph"/>
        <w:numPr>
          <w:ilvl w:val="0"/>
          <w:numId w:val="2"/>
        </w:numPr>
        <w:jc w:val="both"/>
        <w:rPr>
          <w:rFonts w:ascii="Bookman Old Style" w:hAnsi="Bookman Old Style"/>
          <w:color w:val="000000" w:themeColor="text1"/>
        </w:rPr>
      </w:pPr>
      <w:r w:rsidRPr="00676DED">
        <w:rPr>
          <w:rFonts w:ascii="Bookman Old Style" w:hAnsi="Bookman Old Style"/>
          <w:color w:val="000000" w:themeColor="text1"/>
        </w:rPr>
        <w:t>Suscribir el reporte de cada jornada de trabajo y obtener una copia del mismo.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También podrá acreditar delegados la autoridad contra la que se propone la revocatoria del mandato, en este caso los delegados no podrán ser funcionarios o empleados de la institución a la que pertenece dicha autoridad. El Consejo Nacional Electoral o las delegaciones provinciales determinarán el número de delegados que se acreditarán en el proceso de verificación de firmas.</w:t>
      </w:r>
    </w:p>
    <w:p w:rsidR="00676DED" w:rsidRPr="00676DED" w:rsidRDefault="00676DED" w:rsidP="00676DED">
      <w:pPr>
        <w:jc w:val="both"/>
        <w:rPr>
          <w:rStyle w:val="nrma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rPr>
      </w:pPr>
      <w:r w:rsidRPr="00676DED">
        <w:rPr>
          <w:rStyle w:val="nrmar"/>
          <w:rFonts w:ascii="Bookman Old Style" w:hAnsi="Bookman Old Style"/>
          <w:b/>
          <w:color w:val="000000" w:themeColor="text1"/>
          <w:sz w:val="22"/>
          <w:szCs w:val="22"/>
        </w:rPr>
        <w:t>Art. 27</w:t>
      </w:r>
      <w:r w:rsidRPr="00676DED">
        <w:rPr>
          <w:rFonts w:ascii="Bookman Old Style" w:hAnsi="Bookman Old Style"/>
          <w:b/>
          <w:color w:val="000000" w:themeColor="text1"/>
        </w:rPr>
        <w:t>.-</w:t>
      </w:r>
      <w:r w:rsidRPr="00676DED">
        <w:rPr>
          <w:rFonts w:ascii="Bookman Old Style" w:hAnsi="Bookman Old Style"/>
          <w:color w:val="000000" w:themeColor="text1"/>
        </w:rPr>
        <w:t xml:space="preserve"> Observadores o Veedores.- La y los ciudadanos en goce de sus derechos de participación, podrán acompañar en la verificación de firmas en calidad de observadores o veedores para lo cual se acreditarán ante el Consejo Nacional Electoral o sus delegaciones. Su participación será regulada por el Consejo Nacional Electoral.</w:t>
      </w: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28</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Impugnaciones o Reclamaciones Administrativas.- Cualquier impugnación o reclamación de carácter administrativa que se presente dentro de un proceso de revocatoria de mandato, será resuelta por el Consejo Nacional Electoral, de acuerdo a las facultades que le confieren los artículos 237 al 243 del Código de la Democracia, según el caso.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29</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Informe y Resolución.- El Pleno del Consejo Nacional Electoral, previo el informe interno o de los directores de las delegaciones provinciales, harán conocer mediante resolución motivada al o los representantes de los promotores de la iniciativa popular normativa, consulta popular, referéndum, revocatoria del mandato o al organismo peticionario, el resultado de la verificación.</w:t>
      </w: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color w:val="000000" w:themeColor="text1"/>
          <w:sz w:val="22"/>
          <w:szCs w:val="22"/>
        </w:rPr>
        <w:lastRenderedPageBreak/>
        <w:br/>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DE LA CONVOCATORIA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30</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Convocatoria.- El Consejo Nacional Electoral convocará a consulta popular en el plazo de quince días, contados a partir de la disposición del Presidente de la República, o de la solicitud de los gobiernos autónomos descentralizados y la ciudadanía y el dictamen de la Corte Constitucional siempre y cuando se cumpla con todos los requisitos establecidos en la ley.</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En el caso de convocatoria a referéndum prevista en el Art. 442 de la Constitución se realizará dentro del plazo de cuarenta y cinco días contados a partir de la fecha de notificación por parte de la Asamblea Nacional.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La convocatoria a revocatoria del mandato se realizará en el plazo de quince días contados a partir de la resolución del Consejo Nacional Electoral sobre el cumplimiento del número y autenticidad de las firmas.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En ningún caso la fecha de realización de la consulta popular o revocatoria del mandato, excederá los sesenta días, contados desde la correspondiente convocatoria.</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31</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Papeleta Electoral.- El Consejo Nacional Electoral diseñará la papeleta electoral para consulta popular, referéndum o revocatoria del mandato, la misma que contendrá el o los asuntos a ser consultados o el nombre, apellido y cargo del dignatario contra el que se propone la revocatoria.</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En el caso de consulta popular para la conformación de regiones y distritos metropolitanos deberá incluir el correspondiente estatuto.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32</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Presupuesto.- Las erogaciones de recursos correspondientes a las consultas populares o revocatorias de mandato serán imputadas al Presupuesto General del Estado.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Las erogaciones de las consultas populares promovidas por los gobiernos autónomos descentralizados, serán imputadas al presupuesto del organismo correspondiente.</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En ambos casos el Consejo Nacional Electoral determinará el presupuesto a ser utilizado para el proceso eleccionario hasta diez días antes de la convocatoria al mismo, debiendo el Ministerio de Finanzas, realizar las transferencias de recursos económicos correspondientes, hasta cinco días antes de la convocatoria al proceso.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CONTROL DEL FINANCIAMIENTO, GASTO Y PUBLICIDAD DE</w:t>
      </w:r>
      <w:r w:rsidRPr="00676DED">
        <w:rPr>
          <w:rFonts w:ascii="Bookman Old Style" w:hAnsi="Bookman Old Style"/>
          <w:b/>
          <w:color w:val="000000" w:themeColor="text1"/>
          <w:sz w:val="22"/>
          <w:szCs w:val="22"/>
        </w:rPr>
        <w:br/>
        <w:t>CAMPAÑAS ELECTORALES DE CONSULTA POPULAR, REFERENDUM Y</w:t>
      </w:r>
      <w:r w:rsidRPr="00676DED">
        <w:rPr>
          <w:rFonts w:ascii="Bookman Old Style" w:hAnsi="Bookman Old Style"/>
          <w:b/>
          <w:color w:val="000000" w:themeColor="text1"/>
          <w:sz w:val="22"/>
          <w:szCs w:val="22"/>
        </w:rPr>
        <w:br/>
        <w:t xml:space="preserve">REVOCATORIA DEL MANDATO </w:t>
      </w:r>
    </w:p>
    <w:p w:rsidR="00676DED" w:rsidRPr="00676DED" w:rsidRDefault="00676DED" w:rsidP="00676DED">
      <w:pPr>
        <w:jc w:val="both"/>
        <w:rPr>
          <w:rFonts w:ascii="Bookman Old Style" w:hAnsi="Bookman Old Style"/>
          <w:b/>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DE LOS RESPONSABLES DEL MANEJO ECONOMICO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33</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Inscripción y Registro del Responsable del Manejo Económico y del Contador Público Autorizado.- Para poder participar en la campaña electoral de consulta popular, referéndum o revocatoria del mandato, la ciudadanía y las organizaciones sociales y políticas deberán registrar en el Consejo </w:t>
      </w:r>
      <w:r w:rsidRPr="00676DED">
        <w:rPr>
          <w:rFonts w:ascii="Bookman Old Style" w:hAnsi="Bookman Old Style"/>
          <w:color w:val="000000" w:themeColor="text1"/>
          <w:sz w:val="22"/>
          <w:szCs w:val="22"/>
        </w:rPr>
        <w:lastRenderedPageBreak/>
        <w:t>Nacional Electoral o en las delegaciones provinciales electorales, según corresponda, al responsable del manejo económico de la campaña y a una contadora o contador público autorizado.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34</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Plazos para Inscripción.- La inscripción de los responsables del manejo económico de la campaña y de la contadora o contador público autorizado se realizará en los formularios provistos por el Consejo Nacional Electoral, dentro de los siguientes plazos:</w:t>
      </w:r>
    </w:p>
    <w:p w:rsidR="00676DED" w:rsidRPr="00676DED" w:rsidRDefault="00676DED" w:rsidP="00676DED">
      <w:pPr>
        <w:pStyle w:val="ListParagraph"/>
        <w:numPr>
          <w:ilvl w:val="0"/>
          <w:numId w:val="6"/>
        </w:numPr>
        <w:jc w:val="both"/>
        <w:rPr>
          <w:rFonts w:ascii="Bookman Old Style" w:hAnsi="Bookman Old Style"/>
          <w:color w:val="000000" w:themeColor="text1"/>
        </w:rPr>
      </w:pPr>
      <w:r w:rsidRPr="00676DED">
        <w:rPr>
          <w:rFonts w:ascii="Bookman Old Style" w:hAnsi="Bookman Old Style"/>
          <w:color w:val="000000" w:themeColor="text1"/>
        </w:rPr>
        <w:t>Los promotores de la consulta popular por iniciativa ciudadana o revocatoria del mandato, al momento de la presentación de las firmas de respaldo, serán los únicos facultados para hacerlo. La falta de inscripción del responsable del manejo económico de la campaña y de la contadora o contador público autorizado, suspenderá el trámite hasta que esta se realice;</w:t>
      </w:r>
    </w:p>
    <w:p w:rsidR="00676DED" w:rsidRPr="00676DED" w:rsidRDefault="00676DED" w:rsidP="00676DED">
      <w:pPr>
        <w:pStyle w:val="ListParagraph"/>
        <w:numPr>
          <w:ilvl w:val="0"/>
          <w:numId w:val="6"/>
        </w:numPr>
        <w:jc w:val="both"/>
        <w:rPr>
          <w:rFonts w:ascii="Bookman Old Style" w:hAnsi="Bookman Old Style"/>
          <w:color w:val="000000" w:themeColor="text1"/>
        </w:rPr>
      </w:pPr>
      <w:r w:rsidRPr="00676DED">
        <w:rPr>
          <w:rFonts w:ascii="Bookman Old Style" w:hAnsi="Bookman Old Style"/>
          <w:color w:val="000000" w:themeColor="text1"/>
        </w:rPr>
        <w:t>Las organizaciones sociales y políticas que deseen participar en la campaña de consulta popular o referéndum, deberán registrarse hasta cinco días después de la respectiva convocatoria, especificando la opción a la que desea apoyar en el tema propuesto; y,</w:t>
      </w:r>
    </w:p>
    <w:p w:rsidR="00676DED" w:rsidRPr="00676DED" w:rsidRDefault="00676DED" w:rsidP="00676DED">
      <w:pPr>
        <w:pStyle w:val="ListParagraph"/>
        <w:numPr>
          <w:ilvl w:val="0"/>
          <w:numId w:val="6"/>
        </w:numPr>
        <w:jc w:val="both"/>
        <w:rPr>
          <w:rFonts w:ascii="Bookman Old Style" w:hAnsi="Bookman Old Style"/>
          <w:color w:val="000000" w:themeColor="text1"/>
        </w:rPr>
      </w:pPr>
      <w:r w:rsidRPr="00676DED">
        <w:rPr>
          <w:rFonts w:ascii="Bookman Old Style" w:hAnsi="Bookman Old Style"/>
          <w:color w:val="000000" w:themeColor="text1"/>
        </w:rPr>
        <w:t>El dignatario contra quien se solicita la revocatoria del mandato deberá hacerlo hasta cinco días después de que la aprobación de solicitud de revocatoria le haya sido notificada por el Consejo Nacional Electoral, de no hacerlo asumirá las responsabilidades establecidas para el responsable del manejo económico, así como las establecidas para la contadora o contador público autorizado.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Únicamente quienes hayan registrado a los responsables del manejo económico, podrán recibir aportaciones económicas en numerario o en especie a cualquier título y realizar gastos por este concepto.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35</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Requisitos para Inscripción del Responsable del Manejo Económico.- Para la inscripción de los responsables del manejo económico de la campaña, así como de las contadoras o contadores públicos autorizados se requiere lo siguiente:</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1.</w:t>
      </w:r>
      <w:r w:rsidRPr="00676DED">
        <w:rPr>
          <w:rFonts w:ascii="Bookman Old Style" w:hAnsi="Bookman Old Style"/>
          <w:color w:val="000000" w:themeColor="text1"/>
          <w:sz w:val="22"/>
          <w:szCs w:val="22"/>
        </w:rPr>
        <w:t xml:space="preserve"> Solicitud de inscripción del responsable del manejo económico de la campaña electoral, suscrita por el representante de la organización social o política que desea participar o de los ciudadanos que promueven una consulta popular, acompañada de originales y copias de su cédula de ciudadanía y el certificado de votación del último proceso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De conformidad con la ley dicho representante será solidariamente responsable del manejo y presentación de cuentas de la campaña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2.</w:t>
      </w:r>
      <w:r w:rsidRPr="00676DED">
        <w:rPr>
          <w:rFonts w:ascii="Bookman Old Style" w:hAnsi="Bookman Old Style"/>
          <w:color w:val="000000" w:themeColor="text1"/>
          <w:sz w:val="22"/>
          <w:szCs w:val="22"/>
        </w:rPr>
        <w:t xml:space="preserve"> Originales y copias de la cédula de ciudadanía y el certificado de votación del responsable económico y del contador público.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3.</w:t>
      </w:r>
      <w:r w:rsidRPr="00676DED">
        <w:rPr>
          <w:rFonts w:ascii="Bookman Old Style" w:hAnsi="Bookman Old Style"/>
          <w:color w:val="000000" w:themeColor="text1"/>
          <w:sz w:val="22"/>
          <w:szCs w:val="22"/>
        </w:rPr>
        <w:t xml:space="preserve"> Formulario de inscripción entregado por el Consejo Nacional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4.</w:t>
      </w:r>
      <w:r w:rsidRPr="00676DED">
        <w:rPr>
          <w:rFonts w:ascii="Bookman Old Style" w:hAnsi="Bookman Old Style"/>
          <w:color w:val="000000" w:themeColor="text1"/>
          <w:sz w:val="22"/>
          <w:szCs w:val="22"/>
        </w:rPr>
        <w:t xml:space="preserve"> Declaración juramentada de que se encuentran en goce de los derechos de participación, que conocen la normativa electoral y que por lo tanto se sujetan a sus disposiciones.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5.</w:t>
      </w:r>
      <w:r w:rsidRPr="00676DED">
        <w:rPr>
          <w:rFonts w:ascii="Bookman Old Style" w:hAnsi="Bookman Old Style"/>
          <w:color w:val="000000" w:themeColor="text1"/>
          <w:sz w:val="22"/>
          <w:szCs w:val="22"/>
        </w:rPr>
        <w:t xml:space="preserve"> Original y copia del Registro Único de Contribuyentes (RUC) o el carné del Colegio de Contadores que habilita el ejercicio de su profesión.</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6.</w:t>
      </w:r>
      <w:r w:rsidRPr="00676DED">
        <w:rPr>
          <w:rFonts w:ascii="Bookman Old Style" w:hAnsi="Bookman Old Style"/>
          <w:color w:val="000000" w:themeColor="text1"/>
          <w:sz w:val="22"/>
          <w:szCs w:val="22"/>
        </w:rPr>
        <w:t xml:space="preserve"> En el caso de las organizaciones sociales legalmente constituidas deberá presentarse la copia de la resolución del organismo estatal que otorga su personería jurídica, la copia del estatuto y el registro de su Directiva, debidamente notariados.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7.</w:t>
      </w:r>
      <w:r w:rsidRPr="00676DED">
        <w:rPr>
          <w:rFonts w:ascii="Bookman Old Style" w:hAnsi="Bookman Old Style"/>
          <w:color w:val="000000" w:themeColor="text1"/>
          <w:sz w:val="22"/>
          <w:szCs w:val="22"/>
        </w:rPr>
        <w:t xml:space="preserve"> Las organizaciones sociales y políticas registradas deberán nombrar un representante o procurador común quien deberá inscribir al responsable económico y contadora o contador público, de conformidad con el instructivo que para el efecto dicte el Consejo Nacional Electoral.</w:t>
      </w:r>
    </w:p>
    <w:p w:rsidR="00676DED" w:rsidRPr="00676DED" w:rsidRDefault="00676DED" w:rsidP="00676DED">
      <w:pPr>
        <w:jc w:val="both"/>
        <w:rPr>
          <w:rFonts w:ascii="Bookman Old Style" w:hAnsi="Bookman Old Style"/>
          <w:color w:val="000000" w:themeColor="text1"/>
          <w:sz w:val="22"/>
          <w:szCs w:val="22"/>
        </w:rPr>
      </w:pPr>
      <w:r w:rsidRPr="00676DED">
        <w:rPr>
          <w:rStyle w:val="nrmar"/>
          <w:rFonts w:ascii="Bookman Old Style" w:hAnsi="Bookman Old Style"/>
          <w:b/>
          <w:color w:val="000000" w:themeColor="text1"/>
          <w:sz w:val="22"/>
          <w:szCs w:val="22"/>
        </w:rPr>
        <w:t>Art. 36</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Notificación Obligatoria.- El responsable del manejo económico acreditado en el Consejo Nacional Electoral o en las delegaciones provinciales electorales correspondientes, deberá obligatoriamente notificar y presentar por escrito, dentro del plazo de siete días, lo siguiente:</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pStyle w:val="ListParagraph"/>
        <w:numPr>
          <w:ilvl w:val="0"/>
          <w:numId w:val="7"/>
        </w:numPr>
        <w:jc w:val="both"/>
        <w:rPr>
          <w:rFonts w:ascii="Bookman Old Style" w:hAnsi="Bookman Old Style"/>
          <w:color w:val="000000" w:themeColor="text1"/>
        </w:rPr>
      </w:pPr>
      <w:r w:rsidRPr="00676DED">
        <w:rPr>
          <w:rFonts w:ascii="Bookman Old Style" w:hAnsi="Bookman Old Style"/>
          <w:color w:val="000000" w:themeColor="text1"/>
        </w:rPr>
        <w:t>Copia certificada del registro único de contribuyentes para campaña electoral, donde conste el nombre del responsable del manejo económico; y,</w:t>
      </w:r>
    </w:p>
    <w:p w:rsidR="00676DED" w:rsidRPr="00676DED" w:rsidRDefault="00676DED" w:rsidP="00676DED">
      <w:pPr>
        <w:pStyle w:val="ListParagraph"/>
        <w:numPr>
          <w:ilvl w:val="0"/>
          <w:numId w:val="7"/>
        </w:numPr>
        <w:jc w:val="both"/>
        <w:rPr>
          <w:rFonts w:ascii="Bookman Old Style" w:hAnsi="Bookman Old Style"/>
          <w:color w:val="000000" w:themeColor="text1"/>
        </w:rPr>
      </w:pPr>
      <w:r w:rsidRPr="00676DED">
        <w:rPr>
          <w:rFonts w:ascii="Bookman Old Style" w:hAnsi="Bookman Old Style"/>
          <w:color w:val="000000" w:themeColor="text1"/>
        </w:rPr>
        <w:t>Certificado bancario donde conste la apertura de la cuenta bancaria única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Mientras no se cumpla con estos requisitos, el responsable económico no podrá recibir aportes ni realizar gastos por concepto de campaña electoral.</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r>
      <w:r w:rsidRPr="00676DED">
        <w:rPr>
          <w:rFonts w:ascii="Bookman Old Style" w:hAnsi="Bookman Old Style"/>
          <w:b/>
          <w:color w:val="000000" w:themeColor="text1"/>
          <w:sz w:val="22"/>
          <w:szCs w:val="22"/>
        </w:rPr>
        <w:t>DEL LIMITE MAXIMO DE GASTO ELECTORAL Y LA RENDICION DE CUENTAS</w:t>
      </w:r>
      <w:r w:rsidRPr="00676DED">
        <w:rPr>
          <w:rFonts w:ascii="Bookman Old Style" w:hAnsi="Bookman Old Style"/>
          <w:b/>
          <w:color w:val="000000" w:themeColor="text1"/>
          <w:sz w:val="22"/>
          <w:szCs w:val="22"/>
        </w:rPr>
        <w:br/>
      </w: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37</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Determinación Previa de Límite Máximo de Gasto Electoral.- El Consejo Nacional Electoral, la misma fecha de la convocatoria, hará público los límites máximos permitidos.</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El límite de gasto electoral para cada opción será la mitad del monto establecido para la máxima autoridad de la jurisdicción en la que se realizan los comicios, conforme con la disposición general segunda del Código de la Democracia.</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El cálculo del límite máximo de gasto se realizará con base en el registro electoral que será utilizado en el proceso convocado.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38</w:t>
      </w:r>
      <w:r w:rsidRPr="00676DED">
        <w:rPr>
          <w:rFonts w:ascii="Bookman Old Style" w:hAnsi="Bookman Old Style"/>
          <w:color w:val="000000" w:themeColor="text1"/>
          <w:sz w:val="22"/>
          <w:szCs w:val="22"/>
        </w:rPr>
        <w:t>.- Rendición de Cuentas.- Los responsables del manejo económico deberán utilizar obligatoriamente los formatos de egresos, ingresos y presentación de cuentas facilitados por el Consejo Nacional Electoral.</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Los responsables del manejo económico deberán presentar el expediente de cuentas respectivo ante el Consejo Nacional Electoral o la delegación provincial según correspondan, en los plazos previstos en la ley y con todos los documentos originales de respaldo.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r>
      <w:r w:rsidRPr="00676DED">
        <w:rPr>
          <w:rStyle w:val="nrmar"/>
          <w:rFonts w:ascii="Bookman Old Style" w:hAnsi="Bookman Old Style"/>
          <w:b/>
          <w:color w:val="000000" w:themeColor="text1"/>
          <w:sz w:val="22"/>
          <w:szCs w:val="22"/>
        </w:rPr>
        <w:t>Art. 39</w:t>
      </w:r>
      <w:r w:rsidRPr="00676DED">
        <w:rPr>
          <w:rFonts w:ascii="Bookman Old Style" w:hAnsi="Bookman Old Style"/>
          <w:b/>
          <w:color w:val="000000" w:themeColor="text1"/>
          <w:sz w:val="22"/>
          <w:szCs w:val="22"/>
        </w:rPr>
        <w:t>.-</w:t>
      </w:r>
      <w:r w:rsidRPr="00676DED">
        <w:rPr>
          <w:rFonts w:ascii="Bookman Old Style" w:hAnsi="Bookman Old Style"/>
          <w:color w:val="000000" w:themeColor="text1"/>
          <w:sz w:val="22"/>
          <w:szCs w:val="22"/>
        </w:rPr>
        <w:t xml:space="preserve"> Gastos con Anterioridad a la Convocatoria.- Todos los gastos en publicidad contratada en prensa escrita, radio, televisión o vallas </w:t>
      </w:r>
      <w:r w:rsidRPr="00676DED">
        <w:rPr>
          <w:rFonts w:ascii="Bookman Old Style" w:hAnsi="Bookman Old Style"/>
          <w:color w:val="000000" w:themeColor="text1"/>
          <w:sz w:val="22"/>
          <w:szCs w:val="22"/>
        </w:rPr>
        <w:lastRenderedPageBreak/>
        <w:t>publicitarias relativos a una consulta popular, referéndum o revocatoria del mandato antes de la respectiva convocatoria a elecciones, deberán ser reportados e imputados al gasto electoral.</w:t>
      </w:r>
      <w:bookmarkStart w:id="0" w:name="_GoBack"/>
      <w:bookmarkEnd w:id="0"/>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DISPOSICIONES GENERALES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PRIMERA.-</w:t>
      </w:r>
      <w:r w:rsidRPr="00676DED">
        <w:rPr>
          <w:rFonts w:ascii="Bookman Old Style" w:hAnsi="Bookman Old Style"/>
          <w:color w:val="000000" w:themeColor="text1"/>
          <w:sz w:val="22"/>
          <w:szCs w:val="22"/>
        </w:rPr>
        <w:t xml:space="preserve"> La Secretaría General del Consejo Nacional Electoral o de las delegaciones provinciales receptará las solicitudes para iniciativa popular normativa, consultas populares, referéndum o revocatoria de mandato, verificarán si la documentación entregada cumple con las formalidades establecidas y no se admitirá a trámite mientras no se corrija.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t xml:space="preserve">El plazo para la verificación de la documentación y/o firmas, empezará a </w:t>
      </w:r>
      <w:proofErr w:type="spellStart"/>
      <w:r w:rsidRPr="00676DED">
        <w:rPr>
          <w:rFonts w:ascii="Bookman Old Style" w:hAnsi="Bookman Old Style"/>
          <w:color w:val="000000" w:themeColor="text1"/>
          <w:sz w:val="22"/>
          <w:szCs w:val="22"/>
        </w:rPr>
        <w:t>decurrir</w:t>
      </w:r>
      <w:proofErr w:type="spellEnd"/>
      <w:r w:rsidRPr="00676DED">
        <w:rPr>
          <w:rFonts w:ascii="Bookman Old Style" w:hAnsi="Bookman Old Style"/>
          <w:color w:val="000000" w:themeColor="text1"/>
          <w:sz w:val="22"/>
          <w:szCs w:val="22"/>
        </w:rPr>
        <w:t xml:space="preserve"> a partir de la suscripción del acta de entrega - recepción de la documentación por parte de la Secretaría General del Consejo Nacional Electoral o de las delegaciones provinciales según sea el caso.</w:t>
      </w: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color w:val="000000" w:themeColor="text1"/>
          <w:sz w:val="22"/>
          <w:szCs w:val="22"/>
        </w:rPr>
        <w:br/>
        <w:t>Los consulados del Ecuador rentados en el exterior, recibirán las solicitudes y remitirán inmediatamente a la Secretaría General del Consejo Nacional Electoral.</w:t>
      </w:r>
      <w:r w:rsidRPr="00676DED">
        <w:rPr>
          <w:rFonts w:ascii="Bookman Old Style" w:hAnsi="Bookman Old Style"/>
          <w:color w:val="000000" w:themeColor="text1"/>
          <w:sz w:val="22"/>
          <w:szCs w:val="22"/>
        </w:rPr>
        <w:br/>
      </w:r>
      <w:r w:rsidRPr="00676DED">
        <w:rPr>
          <w:rFonts w:ascii="Bookman Old Style" w:hAnsi="Bookman Old Style"/>
          <w:color w:val="000000" w:themeColor="text1"/>
          <w:sz w:val="22"/>
          <w:szCs w:val="22"/>
        </w:rPr>
        <w:br/>
        <w:t>Verificado el cumplimiento de las formalidades establecidas, las secretarías respectivas darán el trámite correspondiente.</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SEGUNDA.-</w:t>
      </w:r>
      <w:r w:rsidRPr="00676DED">
        <w:rPr>
          <w:rFonts w:ascii="Bookman Old Style" w:hAnsi="Bookman Old Style"/>
          <w:color w:val="000000" w:themeColor="text1"/>
          <w:sz w:val="22"/>
          <w:szCs w:val="22"/>
        </w:rPr>
        <w:t xml:space="preserve"> De estimarlo necesario el Consejo Nacional Electoral podrá realizar la verificación de la documentación y/o firmas de cualquier jurisdicción, en cuyo caso los plazos empezarán a correr a partir de la recepción de los documentos en la Secretaría General.</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b/>
          <w:color w:val="000000" w:themeColor="text1"/>
          <w:sz w:val="22"/>
          <w:szCs w:val="22"/>
        </w:rPr>
      </w:pPr>
      <w:r w:rsidRPr="00676DED">
        <w:rPr>
          <w:rFonts w:ascii="Bookman Old Style" w:hAnsi="Bookman Old Style"/>
          <w:b/>
          <w:color w:val="000000" w:themeColor="text1"/>
          <w:sz w:val="22"/>
          <w:szCs w:val="22"/>
        </w:rPr>
        <w:t>DISPOSICIONES FINALES</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PRIMERA.-</w:t>
      </w:r>
      <w:r w:rsidRPr="00676DED">
        <w:rPr>
          <w:rFonts w:ascii="Bookman Old Style" w:hAnsi="Bookman Old Style"/>
          <w:color w:val="000000" w:themeColor="text1"/>
          <w:sz w:val="22"/>
          <w:szCs w:val="22"/>
        </w:rPr>
        <w:t xml:space="preserve"> Los casos de duda en la aplicación de este reglamento, serán resueltos por el Consejo Nacional Electoral en forma directa.</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SEGUNDA.</w:t>
      </w:r>
      <w:r w:rsidRPr="00676DED">
        <w:rPr>
          <w:rFonts w:ascii="Bookman Old Style" w:hAnsi="Bookman Old Style"/>
          <w:color w:val="000000" w:themeColor="text1"/>
          <w:sz w:val="22"/>
          <w:szCs w:val="22"/>
        </w:rPr>
        <w:t xml:space="preserve"> Los Coordinadores Generales de Gestión Estratégica y de Procesos de Participación Política se encargarán de actualizar instructivos, manuales, y demás disposiciones operativas al contenido de este Reglamento </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TERCERA.-</w:t>
      </w:r>
      <w:r w:rsidRPr="00676DED">
        <w:rPr>
          <w:rFonts w:ascii="Bookman Old Style" w:hAnsi="Bookman Old Style"/>
          <w:color w:val="000000" w:themeColor="text1"/>
          <w:sz w:val="22"/>
          <w:szCs w:val="22"/>
        </w:rPr>
        <w:t xml:space="preserve"> Los Coordinadores Generales de Gestión Estratégica y de Procesos de Participación Política, adoptarán las medidas necesarias a fin de garantizar la aplicación inmediata del presente Reglamento.</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 xml:space="preserve">CUARTA.- </w:t>
      </w:r>
      <w:r w:rsidRPr="00676DED">
        <w:rPr>
          <w:rFonts w:ascii="Bookman Old Style" w:hAnsi="Bookman Old Style"/>
          <w:color w:val="000000" w:themeColor="text1"/>
          <w:sz w:val="22"/>
          <w:szCs w:val="22"/>
        </w:rPr>
        <w:t xml:space="preserve">Sirvieron de base para la Codificación del Reglamento para el Ejercicio de la Democracia Directa a través de la Iniciativa Popular Normativa, Consultas Populares, Referéndum y Revocatoria del Mandato, la Resolución </w:t>
      </w:r>
      <w:r w:rsidRPr="00676DED">
        <w:rPr>
          <w:rFonts w:ascii="Bookman Old Style" w:hAnsi="Bookman Old Style"/>
          <w:b/>
          <w:color w:val="000000" w:themeColor="text1"/>
          <w:sz w:val="22"/>
          <w:szCs w:val="22"/>
          <w:u w:val="single"/>
        </w:rPr>
        <w:t>PLE-CNE-8-22-8-2011</w:t>
      </w:r>
      <w:r w:rsidRPr="00676DED">
        <w:rPr>
          <w:rFonts w:ascii="Bookman Old Style" w:hAnsi="Bookman Old Style"/>
          <w:color w:val="000000" w:themeColor="text1"/>
          <w:sz w:val="22"/>
          <w:szCs w:val="22"/>
        </w:rPr>
        <w:t xml:space="preserve">, publicada en el Registro Oficial No. 536 de 16 de septiembre del 2011; la Resolución </w:t>
      </w:r>
      <w:r w:rsidRPr="00676DED">
        <w:rPr>
          <w:rFonts w:ascii="Bookman Old Style" w:hAnsi="Bookman Old Style"/>
          <w:b/>
          <w:color w:val="000000" w:themeColor="text1"/>
          <w:sz w:val="22"/>
          <w:szCs w:val="22"/>
          <w:u w:val="single"/>
        </w:rPr>
        <w:t>PLE-CNE-2-27-12-2011</w:t>
      </w:r>
      <w:r w:rsidRPr="00676DED">
        <w:rPr>
          <w:rFonts w:ascii="Bookman Old Style" w:hAnsi="Bookman Old Style"/>
          <w:color w:val="000000" w:themeColor="text1"/>
          <w:sz w:val="22"/>
          <w:szCs w:val="22"/>
        </w:rPr>
        <w:t xml:space="preserve">, publicada en el Registro Oficial No. 614 de 9 de enero del 2012; la Resolución </w:t>
      </w:r>
      <w:r w:rsidRPr="00676DED">
        <w:rPr>
          <w:rFonts w:ascii="Bookman Old Style" w:hAnsi="Bookman Old Style"/>
          <w:b/>
          <w:color w:val="000000" w:themeColor="text1"/>
          <w:sz w:val="22"/>
          <w:szCs w:val="22"/>
          <w:u w:val="single"/>
        </w:rPr>
        <w:t>PLE-CNE-1-2-10-2012</w:t>
      </w:r>
      <w:r w:rsidRPr="00676DED">
        <w:rPr>
          <w:rFonts w:ascii="Bookman Old Style" w:hAnsi="Bookman Old Style"/>
          <w:color w:val="000000" w:themeColor="text1"/>
          <w:sz w:val="22"/>
          <w:szCs w:val="22"/>
        </w:rPr>
        <w:t xml:space="preserve">, publicada en el Segundo Suplemento del Registro Oficial No. 584 de 22 de octubre del 2012; y, las reformas al Reglamento para el Ejercicio de la Democracia Directa a través de la Iniciativa Popular Normativa, Consultas Populares, Referéndum y </w:t>
      </w:r>
      <w:r w:rsidRPr="00676DED">
        <w:rPr>
          <w:rFonts w:ascii="Bookman Old Style" w:hAnsi="Bookman Old Style"/>
          <w:color w:val="000000" w:themeColor="text1"/>
          <w:sz w:val="22"/>
          <w:szCs w:val="22"/>
        </w:rPr>
        <w:lastRenderedPageBreak/>
        <w:t xml:space="preserve">Revocatoria del Mandato, aprobadas con Resolución </w:t>
      </w:r>
      <w:r w:rsidRPr="00676DED">
        <w:rPr>
          <w:rFonts w:ascii="Bookman Old Style" w:hAnsi="Bookman Old Style"/>
          <w:b/>
          <w:color w:val="000000" w:themeColor="text1"/>
          <w:sz w:val="22"/>
          <w:szCs w:val="22"/>
          <w:u w:val="single"/>
        </w:rPr>
        <w:t>PLE-CNE-1-2-10-2013</w:t>
      </w:r>
      <w:r w:rsidRPr="00676DED">
        <w:rPr>
          <w:rFonts w:ascii="Bookman Old Style" w:hAnsi="Bookman Old Style"/>
          <w:color w:val="000000" w:themeColor="text1"/>
          <w:sz w:val="22"/>
          <w:szCs w:val="22"/>
        </w:rPr>
        <w:t>, de sesión ordinaria de miércoles 2 de octubre del 2013.</w:t>
      </w:r>
    </w:p>
    <w:p w:rsidR="00676DED" w:rsidRPr="00676DED" w:rsidRDefault="00676DED" w:rsidP="00676DED">
      <w:pPr>
        <w:jc w:val="both"/>
        <w:rPr>
          <w:rFonts w:ascii="Bookman Old Style" w:hAnsi="Bookman Old Style"/>
          <w:color w:val="000000" w:themeColor="text1"/>
          <w:sz w:val="22"/>
          <w:szCs w:val="22"/>
        </w:rPr>
      </w:pPr>
    </w:p>
    <w:p w:rsidR="00676DED" w:rsidRPr="00676DED" w:rsidRDefault="00676DED" w:rsidP="00676DED">
      <w:pPr>
        <w:jc w:val="both"/>
        <w:rPr>
          <w:rFonts w:ascii="Bookman Old Style" w:hAnsi="Bookman Old Style"/>
          <w:color w:val="000000" w:themeColor="text1"/>
          <w:sz w:val="22"/>
          <w:szCs w:val="22"/>
        </w:rPr>
      </w:pPr>
      <w:r w:rsidRPr="00676DED">
        <w:rPr>
          <w:rFonts w:ascii="Bookman Old Style" w:hAnsi="Bookman Old Style"/>
          <w:b/>
          <w:color w:val="000000" w:themeColor="text1"/>
          <w:sz w:val="22"/>
          <w:szCs w:val="22"/>
        </w:rPr>
        <w:t>QUINTO.-</w:t>
      </w:r>
      <w:r w:rsidRPr="00676DED">
        <w:rPr>
          <w:rFonts w:ascii="Bookman Old Style" w:hAnsi="Bookman Old Style"/>
          <w:color w:val="000000" w:themeColor="text1"/>
          <w:sz w:val="22"/>
          <w:szCs w:val="22"/>
        </w:rPr>
        <w:t xml:space="preserve">  La presente codificación al reglamento entra en vigencia a partir de la presente fecha, sin perjuicio de su publicación en el Registro Oficial.</w:t>
      </w:r>
    </w:p>
    <w:p w:rsidR="00676DED" w:rsidRPr="00676DED" w:rsidRDefault="00676DED" w:rsidP="00676DED">
      <w:pPr>
        <w:jc w:val="both"/>
        <w:rPr>
          <w:rFonts w:ascii="Bookman Old Style" w:eastAsia="Times New Roman" w:hAnsi="Bookman Old Style" w:cs="Arial"/>
          <w:color w:val="000000" w:themeColor="text1"/>
          <w:sz w:val="22"/>
          <w:szCs w:val="22"/>
          <w:lang w:val="es-ES"/>
        </w:rPr>
      </w:pPr>
      <w:r w:rsidRPr="00676DED">
        <w:rPr>
          <w:rFonts w:ascii="Bookman Old Style" w:hAnsi="Bookman Old Style"/>
          <w:color w:val="000000" w:themeColor="text1"/>
          <w:sz w:val="22"/>
          <w:szCs w:val="22"/>
        </w:rPr>
        <w:br/>
      </w:r>
      <w:r w:rsidRPr="00676DED">
        <w:rPr>
          <w:rFonts w:ascii="Bookman Old Style" w:eastAsia="Times New Roman" w:hAnsi="Bookman Old Style" w:cs="Arial"/>
          <w:color w:val="000000" w:themeColor="text1"/>
          <w:sz w:val="22"/>
          <w:szCs w:val="22"/>
          <w:lang w:val="es-ES"/>
        </w:rPr>
        <w:t xml:space="preserve">Dado en la ciudad de Quito, Distrito Metropolitano, en la Sala de Sesiones del Pleno del Consejo Nacional Electoral, a los dos días del mes de octubre del año dos mil trece.- Lo Certifico.- </w:t>
      </w:r>
    </w:p>
    <w:p w:rsidR="002E608B" w:rsidRPr="00676DED" w:rsidRDefault="002E608B">
      <w:pPr>
        <w:rPr>
          <w:color w:val="000000" w:themeColor="text1"/>
        </w:rPr>
      </w:pPr>
    </w:p>
    <w:sectPr w:rsidR="002E608B" w:rsidRPr="00676DED" w:rsidSect="002E608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0A2"/>
    <w:multiLevelType w:val="hybridMultilevel"/>
    <w:tmpl w:val="4802F4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AD6277"/>
    <w:multiLevelType w:val="hybridMultilevel"/>
    <w:tmpl w:val="68B2FA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603590"/>
    <w:multiLevelType w:val="hybridMultilevel"/>
    <w:tmpl w:val="4A945D74"/>
    <w:lvl w:ilvl="0" w:tplc="8EDAD76E">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4419B7"/>
    <w:multiLevelType w:val="hybridMultilevel"/>
    <w:tmpl w:val="FF086E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0D4EC6"/>
    <w:multiLevelType w:val="hybridMultilevel"/>
    <w:tmpl w:val="F286C5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3644E9"/>
    <w:multiLevelType w:val="hybridMultilevel"/>
    <w:tmpl w:val="BE0664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B10E91"/>
    <w:multiLevelType w:val="hybridMultilevel"/>
    <w:tmpl w:val="6D78FC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6DED"/>
    <w:rsid w:val="002036C6"/>
    <w:rsid w:val="002E608B"/>
    <w:rsid w:val="003476A9"/>
    <w:rsid w:val="00676DED"/>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rmar">
    <w:name w:val="nrmar"/>
    <w:basedOn w:val="DefaultParagraphFont"/>
    <w:rsid w:val="00676DED"/>
  </w:style>
  <w:style w:type="paragraph" w:styleId="ListParagraph">
    <w:name w:val="List Paragraph"/>
    <w:basedOn w:val="Normal"/>
    <w:uiPriority w:val="34"/>
    <w:qFormat/>
    <w:rsid w:val="00676DED"/>
    <w:pPr>
      <w:spacing w:after="200" w:line="276" w:lineRule="auto"/>
      <w:ind w:left="720"/>
      <w:contextualSpacing/>
    </w:pPr>
    <w:rPr>
      <w:rFonts w:eastAsiaTheme="minorHAnsi"/>
      <w:sz w:val="22"/>
      <w:szCs w:val="22"/>
      <w:lang w:val="es-ES"/>
    </w:rPr>
  </w:style>
  <w:style w:type="paragraph" w:styleId="BalloonText">
    <w:name w:val="Balloon Text"/>
    <w:basedOn w:val="Normal"/>
    <w:link w:val="BalloonTextChar"/>
    <w:uiPriority w:val="99"/>
    <w:semiHidden/>
    <w:unhideWhenUsed/>
    <w:rsid w:val="00676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676D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rmar">
    <w:name w:val="nrmar"/>
    <w:basedOn w:val="DefaultParagraphFont"/>
    <w:rsid w:val="00676DED"/>
  </w:style>
  <w:style w:type="paragraph" w:styleId="ListParagraph">
    <w:name w:val="List Paragraph"/>
    <w:basedOn w:val="Normal"/>
    <w:uiPriority w:val="34"/>
    <w:qFormat/>
    <w:rsid w:val="00676DED"/>
    <w:pPr>
      <w:spacing w:after="200" w:line="276" w:lineRule="auto"/>
      <w:ind w:left="720"/>
      <w:contextualSpacing/>
    </w:pPr>
    <w:rPr>
      <w:rFonts w:eastAsiaTheme="minorHAnsi"/>
      <w:sz w:val="22"/>
      <w:szCs w:val="22"/>
      <w:lang w:val="es-ES"/>
    </w:rPr>
  </w:style>
  <w:style w:type="paragraph" w:styleId="BalloonText">
    <w:name w:val="Balloon Text"/>
    <w:basedOn w:val="Normal"/>
    <w:link w:val="BalloonTextChar"/>
    <w:uiPriority w:val="99"/>
    <w:semiHidden/>
    <w:unhideWhenUsed/>
    <w:rsid w:val="00676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676DE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F56E-FD7F-428B-9CE9-9A525680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5745</Words>
  <Characters>32748</Characters>
  <Application>Microsoft Office Word</Application>
  <DocSecurity>0</DocSecurity>
  <Lines>272</Lines>
  <Paragraphs>76</Paragraphs>
  <ScaleCrop>false</ScaleCrop>
  <Company>domingoparedes@cne.gob.ec</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Paredes Castillo</dc:creator>
  <cp:lastModifiedBy>new</cp:lastModifiedBy>
  <cp:revision>2</cp:revision>
  <dcterms:created xsi:type="dcterms:W3CDTF">2013-10-12T17:28:00Z</dcterms:created>
  <dcterms:modified xsi:type="dcterms:W3CDTF">2013-10-12T17:28:00Z</dcterms:modified>
</cp:coreProperties>
</file>